
<file path=[Content_Types].xml><?xml version="1.0" encoding="utf-8"?>
<Types xmlns="http://schemas.openxmlformats.org/package/2006/content-types">
  <Default Extension="xml" ContentType="application/xml"/>
  <Default Extension="jpeg" ContentType="image/jpeg"/>
  <Default Extension="JPG" ContentType="image/.jp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 xml:space="preserve">B </w:t>
            </w:r>
            <w:r>
              <w:rPr>
                <w:rFonts w:hint="eastAsia" w:ascii="黑体" w:hAnsi="黑体" w:eastAsia="黑体"/>
                <w:sz w:val="21"/>
                <w:szCs w:val="21"/>
                <w:lang w:val="en-US" w:eastAsia="zh-CN"/>
              </w:rPr>
              <w:t>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en-US" w:eastAsia="zh-CN"/>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hint="eastAsia" w:ascii="黑体" w:hAnsi="黑体" w:eastAsia="黑体"/>
          <w:b w:val="0"/>
          <w:bCs w:val="0"/>
          <w:w w:val="100"/>
        </w:rPr>
      </w:pPr>
    </w:p>
    <w:p>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莲藕生态种植技术规程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bookmarkStart w:id="79" w:name="_GoBack"/>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79"/>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rPr>
          <w:rFonts w:hint="eastAsia"/>
        </w:rPr>
      </w:pPr>
      <w:bookmarkStart w:id="21" w:name="BookMark1"/>
      <w:r>
        <w:rPr>
          <w:rFonts w:hint="eastAsia"/>
          <w:spacing w:val="320"/>
        </w:rPr>
        <w:t>目</w:t>
      </w:r>
      <w:r>
        <w:rPr>
          <w:rFonts w:hint="eastAsia"/>
        </w:rPr>
        <w:t>次</w:t>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"_Toc180752664"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_Toc180752664 \h</w:instrText>
      </w:r>
      <w:r>
        <w:rPr>
          <w:rFonts w:hint="eastAsia"/>
        </w:rPr>
        <w:instrText xml:space="preserve"> </w:instrText>
      </w:r>
      <w:r>
        <w:fldChar w:fldCharType="separate"/>
      </w:r>
      <w:r>
        <w:t>II</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"_Toc180752665"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_Toc180752665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"_Toc180752666"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_Toc180752666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"_Toc180752667"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_Toc180752667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"_Toc180752668" </w:instrText>
      </w:r>
      <w:r>
        <w:fldChar w:fldCharType="separate"/>
      </w:r>
      <w:r>
        <w:rPr>
          <w:rStyle w:val="32"/>
          <w:rFonts w:hint="eastAsia"/>
        </w:rPr>
        <w:t>4</w:t>
      </w:r>
      <w:r>
        <w:rPr>
          <w:rStyle w:val="32"/>
        </w:rPr>
        <w:t xml:space="preserve"> </w:t>
      </w:r>
      <w:r>
        <w:rPr>
          <w:rStyle w:val="32"/>
          <w:rFonts w:hint="eastAsia"/>
        </w:rPr>
        <w:t xml:space="preserve"> 产地环境要求</w:t>
      </w:r>
      <w:r>
        <w:rPr>
          <w:rFonts w:hint="eastAsia"/>
        </w:rPr>
        <w:tab/>
      </w:r>
      <w:r>
        <w:rPr>
          <w:rFonts w:hint="eastAsia"/>
        </w:rPr>
        <w:fldChar w:fldCharType="begin"/>
      </w:r>
      <w:r>
        <w:rPr>
          <w:rFonts w:hint="eastAsia"/>
        </w:rPr>
        <w:instrText xml:space="preserve"> </w:instrText>
      </w:r>
      <w:r>
        <w:instrText xml:space="preserve">PAGEREF _Toc180752668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"_Toc180752669" </w:instrText>
      </w:r>
      <w:r>
        <w:fldChar w:fldCharType="separate"/>
      </w:r>
      <w:r>
        <w:rPr>
          <w:rStyle w:val="32"/>
          <w:rFonts w:hint="eastAsia"/>
        </w:rPr>
        <w:t>5</w:t>
      </w:r>
      <w:r>
        <w:rPr>
          <w:rStyle w:val="32"/>
        </w:rPr>
        <w:t xml:space="preserve"> </w:t>
      </w:r>
      <w:r>
        <w:rPr>
          <w:rStyle w:val="32"/>
          <w:rFonts w:hint="eastAsia"/>
        </w:rPr>
        <w:t xml:space="preserve"> 播前准备</w:t>
      </w:r>
      <w:r>
        <w:rPr>
          <w:rFonts w:hint="eastAsia"/>
        </w:rPr>
        <w:tab/>
      </w:r>
      <w:r>
        <w:rPr>
          <w:rFonts w:hint="eastAsia"/>
        </w:rPr>
        <w:fldChar w:fldCharType="begin"/>
      </w:r>
      <w:r>
        <w:rPr>
          <w:rFonts w:hint="eastAsia"/>
        </w:rPr>
        <w:instrText xml:space="preserve"> </w:instrText>
      </w:r>
      <w:r>
        <w:instrText xml:space="preserve">PAGEREF _Toc180752669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"_Toc180752670" </w:instrText>
      </w:r>
      <w:r>
        <w:fldChar w:fldCharType="separate"/>
      </w:r>
      <w:r>
        <w:rPr>
          <w:rStyle w:val="32"/>
          <w:rFonts w:hint="eastAsia"/>
        </w:rPr>
        <w:t>6</w:t>
      </w:r>
      <w:r>
        <w:rPr>
          <w:rStyle w:val="32"/>
        </w:rPr>
        <w:t xml:space="preserve"> </w:t>
      </w:r>
      <w:r>
        <w:rPr>
          <w:rStyle w:val="32"/>
          <w:rFonts w:hint="eastAsia"/>
        </w:rPr>
        <w:t xml:space="preserve"> 定植后管理</w:t>
      </w:r>
      <w:r>
        <w:rPr>
          <w:rFonts w:hint="eastAsia"/>
        </w:rPr>
        <w:tab/>
      </w:r>
      <w:r>
        <w:rPr>
          <w:rFonts w:hint="eastAsia"/>
        </w:rPr>
        <w:fldChar w:fldCharType="begin"/>
      </w:r>
      <w:r>
        <w:rPr>
          <w:rFonts w:hint="eastAsia"/>
        </w:rPr>
        <w:instrText xml:space="preserve"> </w:instrText>
      </w:r>
      <w:r>
        <w:instrText xml:space="preserve">PAGEREF _Toc180752670 \h</w:instrText>
      </w:r>
      <w:r>
        <w:rPr>
          <w:rFonts w:hint="eastAsia"/>
        </w:rPr>
        <w:instrText xml:space="preserve"> </w:instrText>
      </w:r>
      <w:r>
        <w:fldChar w:fldCharType="separate"/>
      </w:r>
      <w:r>
        <w:t>2</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"_Toc180752671" </w:instrText>
      </w:r>
      <w:r>
        <w:fldChar w:fldCharType="separate"/>
      </w:r>
      <w:r>
        <w:rPr>
          <w:rStyle w:val="32"/>
          <w:rFonts w:hint="eastAsia"/>
        </w:rPr>
        <w:t>7</w:t>
      </w:r>
      <w:r>
        <w:rPr>
          <w:rStyle w:val="32"/>
        </w:rPr>
        <w:t xml:space="preserve"> </w:t>
      </w:r>
      <w:r>
        <w:rPr>
          <w:rStyle w:val="32"/>
          <w:rFonts w:hint="eastAsia"/>
        </w:rPr>
        <w:t xml:space="preserve"> 病虫害防治</w:t>
      </w:r>
      <w:r>
        <w:rPr>
          <w:rFonts w:hint="eastAsia"/>
        </w:rPr>
        <w:tab/>
      </w:r>
      <w:r>
        <w:rPr>
          <w:rFonts w:hint="eastAsia"/>
        </w:rPr>
        <w:fldChar w:fldCharType="begin"/>
      </w:r>
      <w:r>
        <w:rPr>
          <w:rFonts w:hint="eastAsia"/>
        </w:rPr>
        <w:instrText xml:space="preserve"> </w:instrText>
      </w:r>
      <w:r>
        <w:instrText xml:space="preserve">PAGEREF _Toc180752671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"_Toc180752672" </w:instrText>
      </w:r>
      <w:r>
        <w:fldChar w:fldCharType="separate"/>
      </w:r>
      <w:r>
        <w:rPr>
          <w:rStyle w:val="32"/>
          <w:rFonts w:hint="eastAsia"/>
        </w:rPr>
        <w:t>8</w:t>
      </w:r>
      <w:r>
        <w:rPr>
          <w:rStyle w:val="32"/>
        </w:rPr>
        <w:t xml:space="preserve"> </w:t>
      </w:r>
      <w:r>
        <w:rPr>
          <w:rStyle w:val="32"/>
          <w:rFonts w:hint="eastAsia"/>
        </w:rPr>
        <w:t xml:space="preserve"> 采收</w:t>
      </w:r>
      <w:r>
        <w:rPr>
          <w:rFonts w:hint="eastAsia"/>
        </w:rPr>
        <w:tab/>
      </w:r>
      <w:r>
        <w:rPr>
          <w:rFonts w:hint="eastAsia"/>
        </w:rPr>
        <w:fldChar w:fldCharType="begin"/>
      </w:r>
      <w:r>
        <w:rPr>
          <w:rFonts w:hint="eastAsia"/>
        </w:rPr>
        <w:instrText xml:space="preserve"> </w:instrText>
      </w:r>
      <w:r>
        <w:instrText xml:space="preserve">PAGEREF _Toc180752672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"_Toc180752673" </w:instrText>
      </w:r>
      <w:r>
        <w:fldChar w:fldCharType="separate"/>
      </w:r>
      <w:r>
        <w:rPr>
          <w:rStyle w:val="32"/>
          <w:rFonts w:hint="eastAsia"/>
        </w:rPr>
        <w:t>9</w:t>
      </w:r>
      <w:r>
        <w:rPr>
          <w:rStyle w:val="32"/>
        </w:rPr>
        <w:t xml:space="preserve"> </w:t>
      </w:r>
      <w:r>
        <w:rPr>
          <w:rStyle w:val="32"/>
          <w:rFonts w:hint="eastAsia"/>
        </w:rPr>
        <w:t xml:space="preserve"> 档案管理</w:t>
      </w:r>
      <w:r>
        <w:rPr>
          <w:rFonts w:hint="eastAsia"/>
        </w:rPr>
        <w:tab/>
      </w:r>
      <w:r>
        <w:rPr>
          <w:rFonts w:hint="eastAsia"/>
        </w:rPr>
        <w:fldChar w:fldCharType="begin"/>
      </w:r>
      <w:r>
        <w:rPr>
          <w:rFonts w:hint="eastAsia"/>
        </w:rPr>
        <w:instrText xml:space="preserve"> </w:instrText>
      </w:r>
      <w:r>
        <w:instrText xml:space="preserve">PAGEREF _Toc180752673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"_Toc180752674" </w:instrText>
      </w:r>
      <w:r>
        <w:fldChar w:fldCharType="separate"/>
      </w:r>
      <w:r>
        <w:rPr>
          <w:rStyle w:val="32"/>
          <w:rFonts w:hint="eastAsia"/>
        </w:rPr>
        <w:t>附录A（资料性）</w:t>
      </w:r>
      <w:r>
        <w:rPr>
          <w:rStyle w:val="32"/>
        </w:rPr>
        <w:t xml:space="preserve"> </w:t>
      </w:r>
      <w:r>
        <w:rPr>
          <w:rStyle w:val="32"/>
          <w:rFonts w:hint="eastAsia"/>
        </w:rPr>
        <w:t xml:space="preserve"> 莲藕生态种植技术主要病虫草害防治方法</w:t>
      </w:r>
      <w:r>
        <w:rPr>
          <w:rFonts w:hint="eastAsia"/>
        </w:rPr>
        <w:tab/>
      </w:r>
      <w:r>
        <w:rPr>
          <w:rFonts w:hint="eastAsia"/>
        </w:rPr>
        <w:fldChar w:fldCharType="begin"/>
      </w:r>
      <w:r>
        <w:rPr>
          <w:rFonts w:hint="eastAsia"/>
        </w:rPr>
        <w:instrText xml:space="preserve"> </w:instrText>
      </w:r>
      <w:r>
        <w:instrText xml:space="preserve">PAGEREF _Toc180752674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"_Toc180752675" </w:instrText>
      </w:r>
      <w:r>
        <w:fldChar w:fldCharType="separate"/>
      </w:r>
      <w:r>
        <w:rPr>
          <w:rStyle w:val="32"/>
          <w:rFonts w:hint="eastAsia"/>
        </w:rPr>
        <w:t>附录B（规范性）</w:t>
      </w:r>
      <w:r>
        <w:rPr>
          <w:rStyle w:val="32"/>
        </w:rPr>
        <w:t xml:space="preserve"> </w:t>
      </w:r>
      <w:r>
        <w:rPr>
          <w:rStyle w:val="32"/>
          <w:rFonts w:hint="eastAsia"/>
        </w:rPr>
        <w:t xml:space="preserve"> 生产档案</w:t>
      </w:r>
      <w:r>
        <w:rPr>
          <w:rFonts w:hint="eastAsia"/>
        </w:rPr>
        <w:tab/>
      </w:r>
      <w:r>
        <w:rPr>
          <w:rFonts w:hint="eastAsia"/>
        </w:rPr>
        <w:fldChar w:fldCharType="begin"/>
      </w:r>
      <w:r>
        <w:rPr>
          <w:rFonts w:hint="eastAsia"/>
        </w:rPr>
        <w:instrText xml:space="preserve"> </w:instrText>
      </w:r>
      <w:r>
        <w:instrText xml:space="preserve">PAGEREF _Toc180752675 \h</w:instrText>
      </w:r>
      <w:r>
        <w:rPr>
          <w:rFonts w:hint="eastAsia"/>
        </w:rPr>
        <w:instrText xml:space="preserve"> </w:instrText>
      </w:r>
      <w:r>
        <w:fldChar w:fldCharType="separate"/>
      </w:r>
      <w:r>
        <w:t>5</w:t>
      </w:r>
      <w:r>
        <w:rPr>
          <w:rFonts w:hint="eastAsia"/>
        </w:rPr>
        <w:fldChar w:fldCharType="end"/>
      </w:r>
      <w:r>
        <w:rPr>
          <w:rFonts w:hint="eastAsia"/>
        </w:rPr>
        <w:fldChar w:fldCharType="end"/>
      </w:r>
    </w:p>
    <w:p>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rPr>
          <w:rFonts w:hint="eastAsia"/>
        </w:rPr>
      </w:pPr>
      <w:bookmarkStart w:id="22" w:name="_Toc180752664"/>
      <w:bookmarkStart w:id="23" w:name="BookMark2"/>
      <w:r>
        <w:rPr>
          <w:rFonts w:hint="eastAsia"/>
          <w:spacing w:val="320"/>
        </w:rPr>
        <w:t>前</w:t>
      </w:r>
      <w:r>
        <w:rPr>
          <w:rFonts w:hint="eastAsia"/>
        </w:rPr>
        <w:t>言</w:t>
      </w:r>
      <w:bookmarkEnd w:id="22"/>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本文件由山西省农业农村厅提出、组织实施和监督检查。</w:t>
      </w:r>
    </w:p>
    <w:p>
      <w:pPr>
        <w:pStyle w:val="56"/>
        <w:ind w:firstLine="420"/>
      </w:pPr>
      <w:r>
        <w:rPr>
          <w:rFonts w:hint="eastAsia"/>
        </w:rPr>
        <w:t>本文件由山西省市场监督管理局对标准的组织实施情况进行监督检查。</w:t>
      </w:r>
    </w:p>
    <w:p>
      <w:pPr>
        <w:pStyle w:val="56"/>
        <w:ind w:firstLine="420"/>
        <w:rPr>
          <w:rFonts w:hint="eastAsia"/>
        </w:rPr>
      </w:pPr>
      <w:r>
        <w:rPr>
          <w:rFonts w:hint="eastAsia"/>
        </w:rPr>
        <w:t>本文件由</w:t>
      </w:r>
      <w:r>
        <w:rPr>
          <w:rFonts w:hint="eastAsia"/>
          <w:szCs w:val="22"/>
        </w:rPr>
        <w:t>山西省农业标准化技术委员会</w:t>
      </w:r>
      <w:r>
        <w:rPr>
          <w:rFonts w:hint="eastAsia"/>
        </w:rPr>
        <w:t>归口。</w:t>
      </w:r>
    </w:p>
    <w:p>
      <w:pPr>
        <w:pStyle w:val="56"/>
        <w:ind w:firstLine="420"/>
        <w:rPr>
          <w:rFonts w:hint="eastAsia"/>
        </w:rPr>
      </w:pPr>
      <w:r>
        <w:rPr>
          <w:rFonts w:hint="eastAsia"/>
        </w:rPr>
        <w:t>本文件起草单位：山西农业大学、</w:t>
      </w:r>
      <w:r>
        <w:t>曲沃县智慧菜谷发展服务中心</w:t>
      </w:r>
      <w:r>
        <w:rPr>
          <w:rFonts w:hint="eastAsia"/>
        </w:rPr>
        <w:t>、</w:t>
      </w:r>
      <w:r>
        <w:t>山西三安</w:t>
      </w:r>
      <w:r>
        <w:rPr>
          <w:rFonts w:hint="eastAsia"/>
        </w:rPr>
        <w:t>生物</w:t>
      </w:r>
      <w:r>
        <w:t>科技有限公司</w:t>
      </w:r>
      <w:r>
        <w:rPr>
          <w:rFonts w:hint="eastAsia"/>
        </w:rPr>
        <w:t>。</w:t>
      </w:r>
    </w:p>
    <w:p>
      <w:pPr>
        <w:pStyle w:val="56"/>
        <w:ind w:firstLine="420"/>
        <w:rPr>
          <w:rFonts w:hint="eastAsia"/>
        </w:rPr>
      </w:pPr>
      <w:r>
        <w:rPr>
          <w:rFonts w:hint="eastAsia"/>
        </w:rPr>
        <w:t>本文件主要起草人：赵美华、田文杰、袁长江、刘瑾、崔涛、任小丽、尤晶玲、董作善、魏晓哲、贾强生、刘钊、梁艺、王小军、张继宁、岳青、魏爱红、赵军良、陈永杰。</w:t>
      </w:r>
    </w:p>
    <w:p>
      <w:pPr>
        <w:pStyle w:val="56"/>
        <w:ind w:firstLine="420"/>
        <w:rPr>
          <w:rFonts w:hint="eastAsia"/>
        </w:rPr>
      </w:pPr>
    </w:p>
    <w:p>
      <w:pPr>
        <w:pStyle w:val="56"/>
        <w:ind w:firstLine="420"/>
        <w:rPr>
          <w:rFonts w:hint="eastAsia"/>
        </w:rPr>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hint="eastAsia" w:ascii="黑体" w:hAnsi="黑体" w:eastAsia="黑体"/>
          <w:sz w:val="32"/>
          <w:szCs w:val="32"/>
        </w:rPr>
      </w:pPr>
      <w:bookmarkStart w:id="24"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268D5207FAC249AFB935DF11E3D9213A"/>
        </w:placeholder>
      </w:sdtPr>
      <w:sdtContent>
        <w:p>
          <w:pPr>
            <w:pStyle w:val="177"/>
            <w:spacing w:before="312" w:beforeLines="100" w:after="686" w:afterLines="220"/>
            <w:rPr>
              <w:rFonts w:hint="eastAsia"/>
            </w:rPr>
          </w:pPr>
          <w:bookmarkStart w:id="25" w:name="NEW_STAND_NAME"/>
          <w:r>
            <w:rPr>
              <w:rFonts w:hint="eastAsia"/>
            </w:rPr>
            <w:t>莲藕生态种植技术规程</w:t>
          </w:r>
        </w:p>
      </w:sdtContent>
    </w:sdt>
    <w:bookmarkEnd w:id="25"/>
    <w:p>
      <w:pPr>
        <w:pStyle w:val="104"/>
        <w:spacing w:before="312" w:after="312"/>
      </w:pPr>
      <w:bookmarkStart w:id="26" w:name="_Toc24884211"/>
      <w:bookmarkStart w:id="27" w:name="_Toc180752665"/>
      <w:bookmarkStart w:id="28" w:name="_Toc24884218"/>
      <w:bookmarkStart w:id="29" w:name="_Toc26986530"/>
      <w:bookmarkStart w:id="30" w:name="_Toc97191423"/>
      <w:bookmarkStart w:id="31" w:name="_Toc26986771"/>
      <w:bookmarkStart w:id="32" w:name="_Toc17233325"/>
      <w:bookmarkStart w:id="33" w:name="_Toc26718930"/>
      <w:bookmarkStart w:id="34" w:name="_Toc26648465"/>
      <w:bookmarkStart w:id="35" w:name="_Toc17233333"/>
      <w:r>
        <w:rPr>
          <w:rFonts w:hint="eastAsia"/>
        </w:rPr>
        <w:t>范围</w:t>
      </w:r>
      <w:bookmarkEnd w:id="26"/>
      <w:bookmarkEnd w:id="27"/>
      <w:bookmarkEnd w:id="28"/>
      <w:bookmarkEnd w:id="29"/>
      <w:bookmarkEnd w:id="30"/>
      <w:bookmarkEnd w:id="31"/>
      <w:bookmarkEnd w:id="32"/>
      <w:bookmarkEnd w:id="33"/>
      <w:bookmarkEnd w:id="34"/>
      <w:bookmarkEnd w:id="35"/>
    </w:p>
    <w:p>
      <w:pPr>
        <w:pStyle w:val="56"/>
        <w:ind w:firstLine="420"/>
      </w:pPr>
      <w:bookmarkStart w:id="36" w:name="_Toc24884212"/>
      <w:bookmarkStart w:id="37" w:name="_Toc26648466"/>
      <w:bookmarkStart w:id="38" w:name="_Toc17233326"/>
      <w:bookmarkStart w:id="39" w:name="_Toc17233334"/>
      <w:bookmarkStart w:id="40" w:name="_Toc24884219"/>
      <w:r>
        <w:t>本</w:t>
      </w:r>
      <w:r>
        <w:rPr>
          <w:rFonts w:hint="eastAsia"/>
        </w:rPr>
        <w:t>文件</w:t>
      </w:r>
      <w:r>
        <w:t>规定</w:t>
      </w:r>
      <w:r>
        <w:rPr>
          <w:rFonts w:hint="eastAsia"/>
        </w:rPr>
        <w:t>了莲藕生态种植</w:t>
      </w:r>
      <w:r>
        <w:t>过程中的</w:t>
      </w:r>
      <w:bookmarkStart w:id="41" w:name="_Hlk85570839"/>
      <w:r>
        <w:t>术语与定义、</w:t>
      </w:r>
      <w:r>
        <w:rPr>
          <w:rFonts w:hint="eastAsia"/>
        </w:rPr>
        <w:t>产地环境、播前准备、定植后管理、</w:t>
      </w:r>
      <w:r>
        <w:t>病虫害防治、采收、档案</w:t>
      </w:r>
      <w:r>
        <w:rPr>
          <w:rFonts w:hint="eastAsia"/>
        </w:rPr>
        <w:t>管理</w:t>
      </w:r>
      <w:r>
        <w:t>。</w:t>
      </w:r>
    </w:p>
    <w:bookmarkEnd w:id="41"/>
    <w:p>
      <w:pPr>
        <w:pStyle w:val="56"/>
        <w:ind w:firstLine="420"/>
      </w:pPr>
      <w:r>
        <w:rPr>
          <w:rFonts w:hint="eastAsia"/>
        </w:rPr>
        <w:t>本标准适用于山西省露地及保护地莲藕生态种植</w:t>
      </w:r>
      <w:r>
        <w:t>。</w:t>
      </w:r>
    </w:p>
    <w:p>
      <w:pPr>
        <w:pStyle w:val="104"/>
        <w:spacing w:before="312" w:after="312"/>
      </w:pPr>
      <w:bookmarkStart w:id="42" w:name="_Toc26986531"/>
      <w:bookmarkStart w:id="43" w:name="_Toc26986772"/>
      <w:bookmarkStart w:id="44" w:name="_Toc97191424"/>
      <w:bookmarkStart w:id="45" w:name="_Toc26718931"/>
      <w:bookmarkStart w:id="46" w:name="_Toc180752666"/>
      <w:r>
        <w:rPr>
          <w:rFonts w:hint="eastAsia"/>
        </w:rPr>
        <w:t>规范性引用文件</w:t>
      </w:r>
      <w:bookmarkEnd w:id="36"/>
      <w:bookmarkEnd w:id="37"/>
      <w:bookmarkEnd w:id="38"/>
      <w:bookmarkEnd w:id="39"/>
      <w:bookmarkEnd w:id="40"/>
      <w:bookmarkEnd w:id="42"/>
      <w:bookmarkEnd w:id="43"/>
      <w:bookmarkEnd w:id="44"/>
      <w:bookmarkEnd w:id="45"/>
      <w:bookmarkEnd w:id="46"/>
    </w:p>
    <w:sdt>
      <w:sdtPr>
        <w:rPr>
          <w:rFonts w:hint="eastAsia"/>
        </w:rPr>
        <w:id w:val="715848253"/>
        <w:placeholder>
          <w:docPart w:val="E494F781553D44F2A98C5F665FAA723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hint="eastAsia"/>
        </w:rPr>
      </w:pPr>
      <w:r>
        <w:rPr>
          <w:rFonts w:hint="eastAsia"/>
        </w:rPr>
        <w:t xml:space="preserve">GB </w:t>
      </w:r>
      <w:r>
        <w:rPr>
          <w:rFonts w:hint="eastAsia"/>
          <w:lang w:val="en-US" w:eastAsia="zh-CN"/>
        </w:rPr>
        <w:t>15618</w:t>
      </w:r>
      <w:r>
        <w:rPr>
          <w:rFonts w:hint="eastAsia"/>
        </w:rPr>
        <w:t xml:space="preserve">  </w:t>
      </w:r>
      <w:r>
        <w:rPr>
          <w:rFonts w:hint="eastAsia"/>
          <w:lang w:val="en-US" w:eastAsia="zh-CN"/>
        </w:rPr>
        <w:t xml:space="preserve"> </w:t>
      </w:r>
      <w:r>
        <w:rPr>
          <w:rFonts w:hint="eastAsia"/>
          <w:lang w:eastAsia="zh-CN"/>
        </w:rPr>
        <w:t>土壤环境质量</w:t>
      </w:r>
      <w:r>
        <w:rPr>
          <w:rFonts w:hint="eastAsia"/>
          <w:lang w:val="en-US" w:eastAsia="zh-CN"/>
        </w:rPr>
        <w:t xml:space="preserve"> 农用地土壤污染风险管控</w:t>
      </w:r>
      <w:r>
        <w:rPr>
          <w:rFonts w:hint="eastAsia"/>
        </w:rPr>
        <w:t>标准</w:t>
      </w:r>
    </w:p>
    <w:p>
      <w:pPr>
        <w:pStyle w:val="56"/>
        <w:ind w:firstLine="420"/>
        <w:rPr>
          <w:rFonts w:hint="eastAsia"/>
        </w:rPr>
      </w:pPr>
      <w:r>
        <w:rPr>
          <w:rFonts w:hint="eastAsia"/>
        </w:rPr>
        <w:t xml:space="preserve">GB 5084   </w:t>
      </w:r>
      <w:r>
        <w:rPr>
          <w:rFonts w:hint="eastAsia"/>
          <w:lang w:val="en-US" w:eastAsia="zh-CN"/>
        </w:rPr>
        <w:t xml:space="preserve"> </w:t>
      </w:r>
      <w:r>
        <w:rPr>
          <w:rFonts w:hint="eastAsia"/>
        </w:rPr>
        <w:t>农用灌溉水质标准</w:t>
      </w:r>
    </w:p>
    <w:p>
      <w:pPr>
        <w:pStyle w:val="56"/>
        <w:ind w:firstLine="420"/>
        <w:rPr>
          <w:rFonts w:hint="eastAsia"/>
        </w:rPr>
      </w:pPr>
      <w:r>
        <w:rPr>
          <w:rFonts w:hint="eastAsia"/>
        </w:rPr>
        <w:t>GB/T 8321</w:t>
      </w:r>
      <w:r>
        <w:rPr>
          <w:rFonts w:hint="eastAsia"/>
          <w:lang w:val="en-US" w:eastAsia="zh-CN"/>
        </w:rPr>
        <w:t xml:space="preserve"> </w:t>
      </w:r>
      <w:r>
        <w:rPr>
          <w:rFonts w:hint="eastAsia"/>
        </w:rPr>
        <w:t xml:space="preserve"> 农药合理使用准则</w:t>
      </w:r>
    </w:p>
    <w:p>
      <w:pPr>
        <w:pStyle w:val="56"/>
        <w:ind w:firstLine="420"/>
        <w:rPr>
          <w:rFonts w:hint="eastAsia" w:eastAsia="宋体"/>
          <w:lang w:val="en-US" w:eastAsia="zh-CN"/>
        </w:rPr>
      </w:pPr>
      <w:r>
        <w:rPr>
          <w:rFonts w:hint="eastAsia"/>
        </w:rPr>
        <w:t xml:space="preserve">NY/T </w:t>
      </w:r>
      <w:r>
        <w:rPr>
          <w:rFonts w:hint="eastAsia"/>
          <w:lang w:val="en-US" w:eastAsia="zh-CN"/>
        </w:rPr>
        <w:t>1868</w:t>
      </w:r>
      <w:r>
        <w:rPr>
          <w:rFonts w:hint="eastAsia"/>
        </w:rPr>
        <w:t xml:space="preserve">  肥料</w:t>
      </w:r>
      <w:r>
        <w:rPr>
          <w:rFonts w:hint="eastAsia"/>
          <w:lang w:eastAsia="zh-CN"/>
        </w:rPr>
        <w:t>合理</w:t>
      </w:r>
      <w:r>
        <w:rPr>
          <w:rFonts w:hint="eastAsia"/>
        </w:rPr>
        <w:t>使用准则</w:t>
      </w:r>
      <w:r>
        <w:rPr>
          <w:rFonts w:hint="eastAsia"/>
          <w:lang w:val="en-US" w:eastAsia="zh-CN"/>
        </w:rPr>
        <w:t xml:space="preserve"> 有机肥料</w:t>
      </w:r>
    </w:p>
    <w:p>
      <w:pPr>
        <w:pStyle w:val="56"/>
        <w:ind w:firstLine="420"/>
        <w:rPr>
          <w:lang w:val="fr-FR"/>
        </w:rPr>
      </w:pPr>
      <w:r>
        <w:rPr>
          <w:rFonts w:hint="eastAsia"/>
          <w:lang w:val="fr-FR"/>
        </w:rPr>
        <w:t xml:space="preserve">NY/T 798  </w:t>
      </w:r>
      <w:r>
        <w:rPr>
          <w:rFonts w:hint="eastAsia"/>
          <w:lang w:val="en-US" w:eastAsia="zh-CN"/>
        </w:rPr>
        <w:t xml:space="preserve"> </w:t>
      </w:r>
      <w:r>
        <w:rPr>
          <w:rFonts w:hint="eastAsia"/>
        </w:rPr>
        <w:t>复合微生物有机肥</w:t>
      </w:r>
    </w:p>
    <w:p>
      <w:pPr>
        <w:pStyle w:val="104"/>
        <w:spacing w:before="312" w:after="312"/>
      </w:pPr>
      <w:bookmarkStart w:id="47" w:name="_Toc180752667"/>
      <w:bookmarkStart w:id="48" w:name="_Toc97191425"/>
      <w:r>
        <w:rPr>
          <w:rFonts w:hint="eastAsia"/>
          <w:szCs w:val="21"/>
        </w:rPr>
        <w:t>术语和定义</w:t>
      </w:r>
      <w:bookmarkEnd w:id="47"/>
      <w:bookmarkEnd w:id="48"/>
    </w:p>
    <w:sdt>
      <w:sdtPr>
        <w:id w:val="-1909835108"/>
        <w:placeholder>
          <w:docPart w:val="97DC4AD6376E4DDCA52C8E4ED35881A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9" w:name="_Toc26986532"/>
          <w:bookmarkEnd w:id="49"/>
          <w:r>
            <w:t>下列术语和定义适用于本文件。</w:t>
          </w:r>
        </w:p>
      </w:sdtContent>
    </w:sdt>
    <w:p>
      <w:pPr>
        <w:pStyle w:val="223"/>
        <w:ind w:left="420" w:hanging="420" w:hangingChars="200"/>
        <w:rPr>
          <w:rFonts w:ascii="黑体" w:hAnsi="黑体" w:eastAsia="黑体"/>
        </w:rPr>
      </w:pPr>
    </w:p>
    <w:p>
      <w:pPr>
        <w:pStyle w:val="223"/>
        <w:ind w:left="420" w:hanging="420" w:hangingChars="200"/>
        <w:rPr>
          <w:rFonts w:ascii="黑体" w:hAnsi="黑体" w:eastAsia="黑体"/>
        </w:rPr>
      </w:pPr>
      <w:r>
        <w:rPr>
          <w:rFonts w:hint="eastAsia" w:ascii="黑体" w:hAnsi="黑体" w:eastAsia="黑体"/>
        </w:rPr>
        <w:t>土壤净化保护</w:t>
      </w:r>
    </w:p>
    <w:p>
      <w:pPr>
        <w:pStyle w:val="56"/>
        <w:ind w:firstLine="420"/>
        <w:rPr>
          <w:kern w:val="2"/>
        </w:rPr>
      </w:pPr>
      <w:r>
        <w:t>通过</w:t>
      </w:r>
      <w:r>
        <w:rPr>
          <w:rFonts w:hint="eastAsia"/>
        </w:rPr>
        <w:t>物理或</w:t>
      </w:r>
      <w:r>
        <w:t>生物的作用达到</w:t>
      </w:r>
      <w:r>
        <w:rPr>
          <w:rFonts w:hint="eastAsia"/>
          <w:kern w:val="2"/>
        </w:rPr>
        <w:t>降解土壤和肥料中的农残、药残、化残、农业废弃物</w:t>
      </w:r>
      <w:r>
        <w:rPr>
          <w:rFonts w:hint="eastAsia"/>
        </w:rPr>
        <w:t>等污染物质或毒素</w:t>
      </w:r>
      <w:r>
        <w:t>的措施和过程</w:t>
      </w:r>
      <w:r>
        <w:rPr>
          <w:rFonts w:hint="eastAsia"/>
        </w:rPr>
        <w:t>，实现净化产地环境（包括雨水、灌溉水）、钝化重金属等有害物质的目标。</w:t>
      </w:r>
    </w:p>
    <w:p>
      <w:pPr>
        <w:pStyle w:val="223"/>
        <w:ind w:left="420" w:hanging="420" w:hangingChars="200"/>
        <w:rPr>
          <w:rFonts w:ascii="黑体" w:hAnsi="黑体" w:eastAsia="黑体"/>
        </w:rPr>
      </w:pPr>
    </w:p>
    <w:p>
      <w:pPr>
        <w:pStyle w:val="223"/>
        <w:ind w:left="420" w:hanging="420" w:hangingChars="200"/>
        <w:rPr>
          <w:rFonts w:ascii="黑体" w:hAnsi="黑体" w:eastAsia="黑体"/>
        </w:rPr>
      </w:pPr>
      <w:r>
        <w:rPr>
          <w:rFonts w:hint="eastAsia" w:ascii="黑体" w:hAnsi="黑体" w:eastAsia="黑体"/>
        </w:rPr>
        <w:t>水质净化及浮萍处理</w:t>
      </w:r>
    </w:p>
    <w:p>
      <w:pPr>
        <w:pStyle w:val="56"/>
        <w:ind w:firstLine="420"/>
      </w:pPr>
      <w:r>
        <w:rPr>
          <w:rFonts w:hint="eastAsia"/>
        </w:rPr>
        <w:t>根据水质情况，全田分次、适时冲施水质生物调节剂的措施和过程。</w:t>
      </w:r>
    </w:p>
    <w:p>
      <w:pPr>
        <w:pStyle w:val="104"/>
        <w:spacing w:before="312" w:after="312"/>
      </w:pPr>
      <w:bookmarkStart w:id="50" w:name="_Toc180752668"/>
      <w:r>
        <w:rPr>
          <w:rFonts w:hint="eastAsia"/>
        </w:rPr>
        <w:t>产地环境</w:t>
      </w:r>
      <w:bookmarkEnd w:id="50"/>
    </w:p>
    <w:p>
      <w:pPr>
        <w:pStyle w:val="56"/>
        <w:ind w:firstLine="420"/>
        <w:rPr>
          <w:rFonts w:eastAsia="仿宋_GB2312"/>
          <w:color w:val="C00000"/>
        </w:rPr>
      </w:pPr>
      <w:r>
        <w:rPr>
          <w:rFonts w:hint="eastAsia"/>
          <w:szCs w:val="21"/>
        </w:rPr>
        <w:t>产地环境</w:t>
      </w:r>
      <w:r>
        <w:rPr>
          <w:rFonts w:hint="eastAsia"/>
          <w:szCs w:val="21"/>
          <w:lang w:eastAsia="zh-CN"/>
        </w:rPr>
        <w:t>中的土壤应符合</w:t>
      </w:r>
      <w:r>
        <w:rPr>
          <w:rFonts w:hint="eastAsia"/>
        </w:rPr>
        <w:t>GB</w:t>
      </w:r>
      <w:r>
        <w:rPr>
          <w:rFonts w:hint="eastAsia"/>
          <w:lang w:val="en-US" w:eastAsia="zh-CN"/>
        </w:rPr>
        <w:t>15618《</w:t>
      </w:r>
      <w:r>
        <w:rPr>
          <w:rFonts w:hint="eastAsia"/>
          <w:lang w:eastAsia="zh-CN"/>
        </w:rPr>
        <w:t>土壤环境质量</w:t>
      </w:r>
      <w:r>
        <w:rPr>
          <w:rFonts w:hint="eastAsia"/>
          <w:lang w:val="en-US" w:eastAsia="zh-CN"/>
        </w:rPr>
        <w:t xml:space="preserve"> 农用地土壤污染风险管控</w:t>
      </w:r>
      <w:r>
        <w:rPr>
          <w:rFonts w:hint="eastAsia"/>
        </w:rPr>
        <w:t>标准</w:t>
      </w:r>
      <w:r>
        <w:rPr>
          <w:rFonts w:hint="eastAsia"/>
          <w:lang w:val="en-US" w:eastAsia="zh-CN"/>
        </w:rPr>
        <w:t>》，灌溉水应符合</w:t>
      </w:r>
      <w:r>
        <w:rPr>
          <w:rFonts w:hint="eastAsia"/>
        </w:rPr>
        <w:t>GB5084</w:t>
      </w:r>
      <w:r>
        <w:rPr>
          <w:rFonts w:hint="eastAsia"/>
          <w:lang w:eastAsia="zh-CN"/>
        </w:rPr>
        <w:t>《</w:t>
      </w:r>
      <w:r>
        <w:rPr>
          <w:rFonts w:hint="eastAsia"/>
        </w:rPr>
        <w:t>农用灌溉水质标准</w:t>
      </w:r>
      <w:r>
        <w:rPr>
          <w:rFonts w:hint="eastAsia"/>
          <w:lang w:eastAsia="zh-CN"/>
        </w:rPr>
        <w:t>》</w:t>
      </w:r>
      <w:r>
        <w:rPr>
          <w:rFonts w:hint="eastAsia"/>
          <w:szCs w:val="21"/>
        </w:rPr>
        <w:t>的相关规定。</w:t>
      </w:r>
    </w:p>
    <w:p>
      <w:pPr>
        <w:pStyle w:val="104"/>
        <w:spacing w:before="312" w:after="312"/>
      </w:pPr>
      <w:bookmarkStart w:id="51" w:name="_Toc126164656"/>
      <w:bookmarkStart w:id="52" w:name="_Toc180752669"/>
      <w:r>
        <w:rPr>
          <w:rFonts w:hint="eastAsia"/>
        </w:rPr>
        <w:t>播前准备</w:t>
      </w:r>
      <w:bookmarkEnd w:id="51"/>
      <w:bookmarkEnd w:id="52"/>
    </w:p>
    <w:p>
      <w:pPr>
        <w:pStyle w:val="105"/>
        <w:spacing w:before="156" w:after="156"/>
      </w:pPr>
      <w:r>
        <w:rPr>
          <w:rFonts w:hint="eastAsia"/>
        </w:rPr>
        <w:t>选地</w:t>
      </w:r>
    </w:p>
    <w:p>
      <w:pPr>
        <w:pStyle w:val="56"/>
        <w:ind w:firstLine="420"/>
        <w:rPr>
          <w:rFonts w:hint="eastAsia"/>
        </w:rPr>
      </w:pPr>
      <w:r>
        <w:t>选择地势平坦、土壤肥沃、地力均匀、无污染</w:t>
      </w:r>
      <w:r>
        <w:rPr>
          <w:rFonts w:hint="eastAsia"/>
        </w:rPr>
        <w:t>，</w:t>
      </w:r>
      <w:r>
        <w:t>土壤厚度为35</w:t>
      </w:r>
      <w:r>
        <w:rPr>
          <w:rFonts w:hint="eastAsia"/>
        </w:rPr>
        <w:t xml:space="preserve"> cm</w:t>
      </w:r>
      <w:r>
        <w:t>～45</w:t>
      </w:r>
      <w:r>
        <w:rPr>
          <w:rFonts w:hint="eastAsia"/>
        </w:rPr>
        <w:t xml:space="preserve"> </w:t>
      </w:r>
      <w:r>
        <w:t>cm的地块</w:t>
      </w:r>
      <w:r>
        <w:rPr>
          <w:rFonts w:hint="eastAsia"/>
        </w:rPr>
        <w:t>。</w:t>
      </w:r>
    </w:p>
    <w:p>
      <w:pPr>
        <w:pStyle w:val="105"/>
        <w:spacing w:before="156" w:after="156"/>
      </w:pPr>
      <w:r>
        <w:rPr>
          <w:rFonts w:hint="eastAsia"/>
        </w:rPr>
        <w:t>整地施肥</w:t>
      </w:r>
    </w:p>
    <w:p>
      <w:pPr>
        <w:pStyle w:val="56"/>
        <w:ind w:firstLine="420"/>
        <w:rPr>
          <w:rFonts w:hint="eastAsia" w:eastAsia="宋体"/>
          <w:lang w:eastAsia="zh-CN"/>
        </w:rPr>
      </w:pPr>
      <w:r>
        <w:rPr>
          <w:rFonts w:hint="eastAsia"/>
        </w:rPr>
        <w:t>定植15 d～20 d前整地，清除杂草，耙平泥面。一般</w:t>
      </w:r>
      <w:r>
        <w:t>每</w:t>
      </w:r>
      <w:r>
        <w:rPr>
          <w:rFonts w:hint="eastAsia"/>
        </w:rPr>
        <w:t>667 m</w:t>
      </w:r>
      <w:r>
        <w:rPr>
          <w:rFonts w:hint="eastAsia"/>
          <w:vertAlign w:val="superscript"/>
        </w:rPr>
        <w:t>2</w:t>
      </w:r>
      <w:r>
        <w:t>施入腐熟的农家肥2000</w:t>
      </w:r>
      <w:r>
        <w:rPr>
          <w:rFonts w:hint="eastAsia"/>
        </w:rPr>
        <w:t xml:space="preserve"> kg～</w:t>
      </w:r>
      <w:r>
        <w:t>3000</w:t>
      </w:r>
      <w:r>
        <w:rPr>
          <w:rFonts w:hint="eastAsia"/>
        </w:rPr>
        <w:t xml:space="preserve"> </w:t>
      </w:r>
      <w:r>
        <w:t>kg，微生物菌肥160 kg、复合肥100 kg</w:t>
      </w:r>
      <w:r>
        <w:rPr>
          <w:rFonts w:hint="eastAsia"/>
        </w:rPr>
        <w:t>，</w:t>
      </w:r>
      <w:r>
        <w:t>土壤净化剂20</w:t>
      </w:r>
      <w:r>
        <w:rPr>
          <w:rFonts w:hint="eastAsia"/>
        </w:rPr>
        <w:t xml:space="preserve"> </w:t>
      </w:r>
      <w:r>
        <w:t>kg</w:t>
      </w:r>
      <w:r>
        <w:rPr>
          <w:rFonts w:hint="eastAsia"/>
        </w:rPr>
        <w:t>，</w:t>
      </w:r>
      <w:r>
        <w:t>混合均匀后撒施</w:t>
      </w:r>
      <w:r>
        <w:rPr>
          <w:rFonts w:hint="eastAsia"/>
        </w:rPr>
        <w:t>，</w:t>
      </w:r>
      <w:r>
        <w:t>深翻20</w:t>
      </w:r>
      <w:r>
        <w:rPr>
          <w:rFonts w:hint="eastAsia"/>
        </w:rPr>
        <w:t xml:space="preserve"> cm</w:t>
      </w:r>
      <w:r>
        <w:t>～30</w:t>
      </w:r>
      <w:r>
        <w:rPr>
          <w:rFonts w:hint="eastAsia"/>
        </w:rPr>
        <w:t xml:space="preserve"> </w:t>
      </w:r>
      <w:r>
        <w:t>cm，然后把整个池子底部整平。</w:t>
      </w:r>
      <w:r>
        <w:rPr>
          <w:rFonts w:hint="eastAsia"/>
          <w:lang w:eastAsia="zh-CN"/>
        </w:rPr>
        <w:t>所施肥料应复合</w:t>
      </w:r>
      <w:r>
        <w:rPr>
          <w:rFonts w:hint="eastAsia"/>
        </w:rPr>
        <w:t xml:space="preserve">NY/T </w:t>
      </w:r>
      <w:r>
        <w:rPr>
          <w:rFonts w:hint="eastAsia"/>
          <w:lang w:val="en-US" w:eastAsia="zh-CN"/>
        </w:rPr>
        <w:t>1868</w:t>
      </w:r>
      <w:r>
        <w:rPr>
          <w:rFonts w:hint="eastAsia"/>
        </w:rPr>
        <w:t xml:space="preserve"> </w:t>
      </w:r>
      <w:r>
        <w:rPr>
          <w:rFonts w:hint="eastAsia"/>
          <w:lang w:eastAsia="zh-CN"/>
        </w:rPr>
        <w:t>《</w:t>
      </w:r>
      <w:r>
        <w:rPr>
          <w:rFonts w:hint="eastAsia"/>
        </w:rPr>
        <w:t>肥料</w:t>
      </w:r>
      <w:r>
        <w:rPr>
          <w:rFonts w:hint="eastAsia"/>
          <w:lang w:eastAsia="zh-CN"/>
        </w:rPr>
        <w:t>合理</w:t>
      </w:r>
      <w:r>
        <w:rPr>
          <w:rFonts w:hint="eastAsia"/>
        </w:rPr>
        <w:t>使用准则</w:t>
      </w:r>
      <w:r>
        <w:rPr>
          <w:rFonts w:hint="eastAsia"/>
          <w:lang w:val="en-US" w:eastAsia="zh-CN"/>
        </w:rPr>
        <w:t xml:space="preserve"> 有机肥料</w:t>
      </w:r>
      <w:r>
        <w:rPr>
          <w:rFonts w:hint="eastAsia"/>
          <w:lang w:eastAsia="zh-CN"/>
        </w:rPr>
        <w:t>》、NY/T 798《复合微生物有机肥》</w:t>
      </w:r>
      <w:r>
        <w:rPr>
          <w:rFonts w:hint="eastAsia"/>
          <w:szCs w:val="21"/>
        </w:rPr>
        <w:t>的相关规定</w:t>
      </w:r>
      <w:r>
        <w:rPr>
          <w:rFonts w:hint="eastAsia"/>
          <w:szCs w:val="21"/>
          <w:lang w:eastAsia="zh-CN"/>
        </w:rPr>
        <w:t>。</w:t>
      </w:r>
    </w:p>
    <w:p>
      <w:pPr>
        <w:pStyle w:val="105"/>
        <w:spacing w:before="156" w:after="156"/>
      </w:pPr>
      <w:r>
        <w:rPr>
          <w:rFonts w:hint="eastAsia"/>
        </w:rPr>
        <w:t>品种选择</w:t>
      </w:r>
    </w:p>
    <w:p>
      <w:pPr>
        <w:pStyle w:val="56"/>
        <w:ind w:firstLine="420"/>
        <w:rPr>
          <w:rFonts w:hint="eastAsia"/>
        </w:rPr>
      </w:pPr>
      <w:bookmarkStart w:id="53" w:name="_Toc206851073"/>
      <w:bookmarkStart w:id="54" w:name="_Toc206850776"/>
      <w:bookmarkStart w:id="55" w:name="_Toc530902462"/>
      <w:bookmarkStart w:id="56" w:name="_Toc206851003"/>
      <w:bookmarkStart w:id="57" w:name="_Toc530514918"/>
      <w:bookmarkStart w:id="58" w:name="_Toc206850020"/>
      <w:bookmarkStart w:id="59" w:name="_Toc206850113"/>
      <w:bookmarkStart w:id="60" w:name="_Toc530902425"/>
      <w:bookmarkStart w:id="61" w:name="_Toc206850443"/>
      <w:r>
        <w:t>选择适宜当地生态条件</w:t>
      </w:r>
      <w:r>
        <w:rPr>
          <w:rFonts w:hint="eastAsia"/>
        </w:rPr>
        <w:t>，种藕纯度应达95%以上</w:t>
      </w:r>
      <w:r>
        <w:rPr>
          <w:rFonts w:hint="eastAsia"/>
          <w:lang w:eastAsia="zh-CN"/>
        </w:rPr>
        <w:t>，</w:t>
      </w:r>
      <w:r>
        <w:rPr>
          <w:rFonts w:hint="eastAsia"/>
        </w:rPr>
        <w:t>单个藕支应具1 个以上顶芽、3 个或3 个以上节，未受病虫害</w:t>
      </w:r>
      <w:r>
        <w:rPr>
          <w:rFonts w:hint="eastAsia"/>
          <w:lang w:eastAsia="zh-CN"/>
        </w:rPr>
        <w:t>危</w:t>
      </w:r>
      <w:r>
        <w:rPr>
          <w:rFonts w:hint="eastAsia"/>
        </w:rPr>
        <w:t>害,藕芽完好的优良品种。</w:t>
      </w:r>
    </w:p>
    <w:p>
      <w:pPr>
        <w:pStyle w:val="105"/>
        <w:spacing w:before="156" w:after="156"/>
      </w:pPr>
      <w:r>
        <w:rPr>
          <w:rFonts w:hint="eastAsia"/>
        </w:rPr>
        <w:t>种藕用量与处理</w:t>
      </w:r>
    </w:p>
    <w:p>
      <w:pPr>
        <w:pStyle w:val="56"/>
        <w:ind w:firstLine="420"/>
        <w:rPr>
          <w:rFonts w:hint="eastAsia" w:eastAsia="宋体"/>
          <w:lang w:eastAsia="zh-CN"/>
        </w:rPr>
      </w:pPr>
      <w:r>
        <w:rPr>
          <w:rFonts w:hint="eastAsia"/>
        </w:rPr>
        <w:t>每667 m</w:t>
      </w:r>
      <w:r>
        <w:rPr>
          <w:rFonts w:hint="eastAsia"/>
          <w:vertAlign w:val="superscript"/>
        </w:rPr>
        <w:t>2</w:t>
      </w:r>
      <w:r>
        <w:rPr>
          <w:rFonts w:hint="eastAsia"/>
        </w:rPr>
        <w:t>种藕用量200 kg～400 kg,或顶芽600 个以上。</w:t>
      </w:r>
      <w:r>
        <w:t>将种藕</w:t>
      </w:r>
      <w:r>
        <w:rPr>
          <w:rFonts w:hint="eastAsia"/>
          <w:lang w:eastAsia="zh-CN"/>
        </w:rPr>
        <w:t>置</w:t>
      </w:r>
      <w:r>
        <w:t>于阴凉处，</w:t>
      </w:r>
      <w:r>
        <w:rPr>
          <w:rFonts w:hint="eastAsia"/>
          <w:lang w:eastAsia="zh-CN"/>
        </w:rPr>
        <w:t>可</w:t>
      </w:r>
      <w:r>
        <w:rPr>
          <w:rFonts w:hint="eastAsia"/>
        </w:rPr>
        <w:t>用50%多菌灵可湿性粉剂800 倍～1000 倍液浸泡1 min。</w:t>
      </w:r>
      <w:r>
        <w:rPr>
          <w:rFonts w:hint="eastAsia"/>
          <w:lang w:eastAsia="zh-CN"/>
        </w:rPr>
        <w:t>药剂使用应符合</w:t>
      </w:r>
      <w:r>
        <w:rPr>
          <w:rFonts w:hint="eastAsia"/>
        </w:rPr>
        <w:t>GB/T 8321</w:t>
      </w:r>
      <w:r>
        <w:rPr>
          <w:rFonts w:hint="eastAsia"/>
          <w:lang w:eastAsia="zh-CN"/>
        </w:rPr>
        <w:t>《</w:t>
      </w:r>
      <w:r>
        <w:rPr>
          <w:rFonts w:hint="eastAsia"/>
        </w:rPr>
        <w:t>农药合理使用准则</w:t>
      </w:r>
      <w:r>
        <w:rPr>
          <w:rFonts w:hint="eastAsia"/>
          <w:lang w:eastAsia="zh-CN"/>
        </w:rPr>
        <w:t>》。</w:t>
      </w:r>
    </w:p>
    <w:p>
      <w:pPr>
        <w:pStyle w:val="105"/>
        <w:spacing w:before="156" w:after="156"/>
      </w:pPr>
      <w:r>
        <w:t>定植</w:t>
      </w:r>
    </w:p>
    <w:p>
      <w:pPr>
        <w:pStyle w:val="65"/>
        <w:spacing w:before="156" w:after="156"/>
      </w:pPr>
      <w:r>
        <w:rPr>
          <w:rFonts w:hint="eastAsia"/>
        </w:rPr>
        <w:t>时间</w:t>
      </w:r>
    </w:p>
    <w:p>
      <w:pPr>
        <w:pStyle w:val="230"/>
      </w:pPr>
      <w:bookmarkStart w:id="62" w:name="_Toc40279303"/>
      <w:bookmarkStart w:id="63" w:name="_Toc29324"/>
      <w:bookmarkStart w:id="64" w:name="_Toc40279349"/>
      <w:r>
        <w:rPr>
          <w:rFonts w:hint="eastAsia"/>
        </w:rPr>
        <w:t xml:space="preserve">在日平均气温达15 </w:t>
      </w:r>
      <w:r>
        <w:rPr>
          <w:rFonts w:hint="eastAsia" w:hAnsi="宋体" w:cs="宋体"/>
        </w:rPr>
        <w:t>℃</w:t>
      </w:r>
      <w:r>
        <w:rPr>
          <w:rFonts w:hint="eastAsia"/>
        </w:rPr>
        <w:t>以上，</w:t>
      </w:r>
      <w:r>
        <w:rPr>
          <w:rFonts w:ascii="Times New Roman"/>
        </w:rPr>
        <w:t>10</w:t>
      </w:r>
      <w:r>
        <w:rPr>
          <w:rFonts w:hint="eastAsia" w:ascii="Times New Roman"/>
        </w:rPr>
        <w:t xml:space="preserve"> cm</w:t>
      </w:r>
      <w:r>
        <w:rPr>
          <w:rFonts w:ascii="Times New Roman"/>
        </w:rPr>
        <w:t>地温达 13</w:t>
      </w:r>
      <w:r>
        <w:rPr>
          <w:rFonts w:hint="eastAsia" w:ascii="Times New Roman"/>
        </w:rPr>
        <w:t xml:space="preserve"> </w:t>
      </w:r>
      <w:r>
        <w:rPr>
          <w:rFonts w:ascii="Times New Roman"/>
        </w:rPr>
        <w:t>℃以上</w:t>
      </w:r>
      <w:r>
        <w:rPr>
          <w:rFonts w:hint="eastAsia" w:ascii="Times New Roman"/>
          <w:lang w:eastAsia="zh-CN"/>
        </w:rPr>
        <w:t>时</w:t>
      </w:r>
      <w:r>
        <w:rPr>
          <w:rFonts w:hint="eastAsia" w:ascii="Times New Roman"/>
        </w:rPr>
        <w:t>定</w:t>
      </w:r>
      <w:r>
        <w:rPr>
          <w:rFonts w:ascii="Times New Roman"/>
        </w:rPr>
        <w:t>植，</w:t>
      </w:r>
      <w:r>
        <w:rPr>
          <w:rFonts w:hint="eastAsia" w:ascii="Times New Roman"/>
        </w:rPr>
        <w:t>山西省范围内</w:t>
      </w:r>
      <w:r>
        <w:rPr>
          <w:rFonts w:hint="eastAsia" w:ascii="Times New Roman"/>
          <w:lang w:eastAsia="zh-CN"/>
        </w:rPr>
        <w:t>一般</w:t>
      </w:r>
      <w:r>
        <w:rPr>
          <w:rFonts w:hint="eastAsia" w:ascii="Times New Roman"/>
        </w:rPr>
        <w:t>在4月上旬</w:t>
      </w:r>
      <w:r>
        <w:rPr>
          <w:rFonts w:ascii="Times New Roman"/>
        </w:rPr>
        <w:t>～</w:t>
      </w:r>
      <w:r>
        <w:rPr>
          <w:rFonts w:hint="eastAsia" w:ascii="Times New Roman"/>
        </w:rPr>
        <w:t>5</w:t>
      </w:r>
      <w:r>
        <w:rPr>
          <w:rFonts w:ascii="Times New Roman"/>
        </w:rPr>
        <w:t>月</w:t>
      </w:r>
      <w:r>
        <w:rPr>
          <w:rFonts w:hint="eastAsia" w:ascii="Times New Roman"/>
        </w:rPr>
        <w:t>上旬</w:t>
      </w:r>
      <w:r>
        <w:rPr>
          <w:rFonts w:ascii="Times New Roman"/>
        </w:rPr>
        <w:t>份定植。</w:t>
      </w:r>
      <w:bookmarkEnd w:id="62"/>
      <w:bookmarkEnd w:id="63"/>
      <w:bookmarkEnd w:id="64"/>
    </w:p>
    <w:p>
      <w:pPr>
        <w:pStyle w:val="65"/>
        <w:spacing w:before="156" w:after="156"/>
      </w:pPr>
      <w:r>
        <w:rPr>
          <w:rFonts w:hint="eastAsia"/>
        </w:rPr>
        <w:t>密度</w:t>
      </w:r>
    </w:p>
    <w:p>
      <w:pPr>
        <w:pStyle w:val="230"/>
        <w:rPr>
          <w:rFonts w:hint="eastAsia" w:ascii="Times New Roman"/>
        </w:rPr>
      </w:pPr>
      <w:r>
        <w:rPr>
          <w:rFonts w:ascii="Times New Roman"/>
        </w:rPr>
        <w:t>株行距根据藕池大小、藕种长度</w:t>
      </w:r>
      <w:r>
        <w:rPr>
          <w:rFonts w:hint="eastAsia" w:ascii="Times New Roman"/>
          <w:lang w:eastAsia="zh-CN"/>
        </w:rPr>
        <w:t>和</w:t>
      </w:r>
      <w:r>
        <w:rPr>
          <w:rFonts w:ascii="Times New Roman"/>
        </w:rPr>
        <w:t>数量均匀栽植</w:t>
      </w:r>
      <w:r>
        <w:rPr>
          <w:rFonts w:hint="eastAsia" w:ascii="Times New Roman"/>
          <w:lang w:eastAsia="zh-CN"/>
        </w:rPr>
        <w:t>。</w:t>
      </w:r>
      <w:r>
        <w:rPr>
          <w:rFonts w:hint="eastAsia" w:ascii="Times New Roman"/>
        </w:rPr>
        <w:t>穴</w:t>
      </w:r>
      <w:r>
        <w:rPr>
          <w:rFonts w:ascii="Times New Roman"/>
        </w:rPr>
        <w:t>距</w:t>
      </w:r>
      <w:r>
        <w:rPr>
          <w:rFonts w:hint="eastAsia" w:ascii="Times New Roman"/>
        </w:rPr>
        <w:t xml:space="preserve">1.0 m～2.0 </w:t>
      </w:r>
      <w:r>
        <w:rPr>
          <w:rFonts w:ascii="Times New Roman"/>
        </w:rPr>
        <w:t>m，行距</w:t>
      </w:r>
      <w:r>
        <w:rPr>
          <w:rFonts w:hint="eastAsia" w:ascii="Times New Roman"/>
        </w:rPr>
        <w:t>1.5 m～2</w:t>
      </w:r>
      <w:r>
        <w:rPr>
          <w:rFonts w:ascii="Times New Roman"/>
        </w:rPr>
        <w:t>.5</w:t>
      </w:r>
      <w:r>
        <w:rPr>
          <w:rFonts w:hint="eastAsia" w:ascii="Times New Roman"/>
        </w:rPr>
        <w:t xml:space="preserve"> </w:t>
      </w:r>
      <w:r>
        <w:rPr>
          <w:rFonts w:ascii="Times New Roman"/>
        </w:rPr>
        <w:t>m。</w:t>
      </w:r>
      <w:r>
        <w:rPr>
          <w:rFonts w:hint="eastAsia" w:ascii="Times New Roman"/>
          <w:lang w:eastAsia="zh-CN"/>
        </w:rPr>
        <w:t>早</w:t>
      </w:r>
      <w:r>
        <w:rPr>
          <w:rFonts w:ascii="Times New Roman"/>
        </w:rPr>
        <w:t>熟品种相对密度大，晚熟品种适当稀植。</w:t>
      </w:r>
    </w:p>
    <w:p>
      <w:pPr>
        <w:pStyle w:val="65"/>
        <w:spacing w:before="156" w:after="156"/>
      </w:pPr>
      <w:r>
        <w:rPr>
          <w:rFonts w:hint="eastAsia"/>
        </w:rPr>
        <w:t>方法</w:t>
      </w:r>
    </w:p>
    <w:p>
      <w:pPr>
        <w:pStyle w:val="56"/>
        <w:ind w:firstLine="420"/>
      </w:pPr>
      <w:r>
        <w:t>定植时将种藕顶芽与地面平行埋入泥中8</w:t>
      </w:r>
      <w:r>
        <w:rPr>
          <w:rFonts w:hint="eastAsia"/>
        </w:rPr>
        <w:t xml:space="preserve"> cm</w:t>
      </w:r>
      <w:r>
        <w:t>～12</w:t>
      </w:r>
      <w:r>
        <w:rPr>
          <w:rFonts w:hint="eastAsia"/>
        </w:rPr>
        <w:t xml:space="preserve"> </w:t>
      </w:r>
      <w:r>
        <w:t>cm，尾段略向上倾斜20</w:t>
      </w:r>
      <w:r>
        <w:rPr>
          <w:rFonts w:hint="eastAsia"/>
        </w:rPr>
        <w:t xml:space="preserve"> </w:t>
      </w:r>
      <w:r>
        <w:t>°～25</w:t>
      </w:r>
      <w:r>
        <w:rPr>
          <w:rFonts w:hint="eastAsia"/>
        </w:rPr>
        <w:t xml:space="preserve"> </w:t>
      </w:r>
      <w:r>
        <w:t>°。田块四周栽植点的种藕顶芽一律朝向田内，田间的种藕顶芽左右交叉相对。</w:t>
      </w:r>
    </w:p>
    <w:bookmarkEnd w:id="53"/>
    <w:bookmarkEnd w:id="54"/>
    <w:bookmarkEnd w:id="55"/>
    <w:bookmarkEnd w:id="56"/>
    <w:bookmarkEnd w:id="57"/>
    <w:bookmarkEnd w:id="58"/>
    <w:bookmarkEnd w:id="59"/>
    <w:bookmarkEnd w:id="60"/>
    <w:bookmarkEnd w:id="61"/>
    <w:p>
      <w:pPr>
        <w:pStyle w:val="104"/>
        <w:spacing w:before="312" w:after="312"/>
      </w:pPr>
      <w:bookmarkStart w:id="65" w:name="_Toc126164657"/>
      <w:bookmarkStart w:id="66" w:name="_Toc180752670"/>
      <w:r>
        <w:rPr>
          <w:rFonts w:hint="eastAsia"/>
        </w:rPr>
        <w:t>定植后</w:t>
      </w:r>
      <w:r>
        <w:t>管理</w:t>
      </w:r>
      <w:bookmarkEnd w:id="65"/>
      <w:bookmarkEnd w:id="66"/>
    </w:p>
    <w:p>
      <w:pPr>
        <w:pStyle w:val="105"/>
        <w:spacing w:before="156" w:after="156"/>
      </w:pPr>
      <w:r>
        <w:rPr>
          <w:rFonts w:hint="eastAsia"/>
        </w:rPr>
        <w:t>灌溉与</w:t>
      </w:r>
      <w:r>
        <w:t>水质净化</w:t>
      </w:r>
    </w:p>
    <w:p>
      <w:pPr>
        <w:pStyle w:val="56"/>
        <w:ind w:firstLine="420"/>
      </w:pPr>
      <w:r>
        <w:t>根据水质情况全田</w:t>
      </w:r>
      <w:r>
        <w:rPr>
          <w:rFonts w:hint="eastAsia"/>
        </w:rPr>
        <w:t>每667 m</w:t>
      </w:r>
      <w:r>
        <w:rPr>
          <w:rFonts w:hint="eastAsia"/>
          <w:vertAlign w:val="superscript"/>
        </w:rPr>
        <w:t>2</w:t>
      </w:r>
      <w:r>
        <w:t>冲施水质</w:t>
      </w:r>
      <w:r>
        <w:rPr>
          <w:rFonts w:hint="eastAsia"/>
        </w:rPr>
        <w:t>净化</w:t>
      </w:r>
      <w:r>
        <w:t>剂</w:t>
      </w:r>
      <w:r>
        <w:rPr>
          <w:rFonts w:hint="eastAsia"/>
        </w:rPr>
        <w:t xml:space="preserve">25 </w:t>
      </w:r>
      <w:r>
        <w:t>kg～</w:t>
      </w:r>
      <w:r>
        <w:rPr>
          <w:rFonts w:hint="eastAsia"/>
        </w:rPr>
        <w:t xml:space="preserve">30 </w:t>
      </w:r>
      <w:r>
        <w:t>kg，间隔20</w:t>
      </w:r>
      <w:r>
        <w:rPr>
          <w:rFonts w:hint="eastAsia"/>
        </w:rPr>
        <w:t xml:space="preserve"> d</w:t>
      </w:r>
      <w:r>
        <w:t>左右再使用一次。</w:t>
      </w:r>
      <w:r>
        <w:rPr>
          <w:rFonts w:hint="eastAsia"/>
        </w:rPr>
        <w:t>灌溉用水符合</w:t>
      </w:r>
      <w:r>
        <w:rPr>
          <w:rFonts w:hint="eastAsia"/>
          <w:kern w:val="2"/>
        </w:rPr>
        <w:t>GB 5084 的规定。</w:t>
      </w:r>
    </w:p>
    <w:p>
      <w:pPr>
        <w:pStyle w:val="105"/>
        <w:spacing w:before="156" w:after="156"/>
      </w:pPr>
      <w:r>
        <w:t>田间清草</w:t>
      </w:r>
    </w:p>
    <w:p>
      <w:pPr>
        <w:pStyle w:val="56"/>
        <w:ind w:firstLine="420"/>
      </w:pPr>
      <w:r>
        <w:t>采取水旱垄作、工拔除杂草、控水窒息，一般</w:t>
      </w:r>
      <w:r>
        <w:rPr>
          <w:rFonts w:hint="eastAsia"/>
        </w:rPr>
        <w:t>作业</w:t>
      </w:r>
      <w:r>
        <w:t>2</w:t>
      </w:r>
      <w:r>
        <w:rPr>
          <w:rFonts w:hint="eastAsia"/>
        </w:rPr>
        <w:t xml:space="preserve"> 次</w:t>
      </w:r>
      <w:r>
        <w:t>～3</w:t>
      </w:r>
      <w:r>
        <w:rPr>
          <w:rFonts w:hint="eastAsia"/>
        </w:rPr>
        <w:t xml:space="preserve"> </w:t>
      </w:r>
      <w:r>
        <w:t>次。也可在定植前用生石灰泼洒池塘，做好消毒，杀死草种草根，从根源上杜绝杂草。</w:t>
      </w:r>
    </w:p>
    <w:p>
      <w:pPr>
        <w:pStyle w:val="105"/>
        <w:spacing w:before="156" w:after="156"/>
      </w:pPr>
      <w:r>
        <w:t>水位调节</w:t>
      </w:r>
    </w:p>
    <w:p>
      <w:pPr>
        <w:pStyle w:val="56"/>
        <w:ind w:firstLine="420"/>
      </w:pPr>
      <w:r>
        <w:t>浅水藕定植后到立叶期，保持4</w:t>
      </w:r>
      <w:r>
        <w:rPr>
          <w:rFonts w:hint="eastAsia"/>
        </w:rPr>
        <w:t xml:space="preserve"> cm</w:t>
      </w:r>
      <w:r>
        <w:t>～7</w:t>
      </w:r>
      <w:r>
        <w:rPr>
          <w:rFonts w:hint="eastAsia"/>
        </w:rPr>
        <w:t xml:space="preserve"> cm</w:t>
      </w:r>
      <w:r>
        <w:t>深的水层为好。立叶后，水层要逐渐升高到13</w:t>
      </w:r>
      <w:r>
        <w:rPr>
          <w:rFonts w:hint="eastAsia"/>
        </w:rPr>
        <w:t xml:space="preserve"> cm</w:t>
      </w:r>
      <w:r>
        <w:t>～16</w:t>
      </w:r>
      <w:r>
        <w:rPr>
          <w:rFonts w:hint="eastAsia"/>
        </w:rPr>
        <w:t xml:space="preserve"> cm</w:t>
      </w:r>
      <w:r>
        <w:t>。终止叶出现后，水层要逐渐降回4</w:t>
      </w:r>
      <w:r>
        <w:rPr>
          <w:rFonts w:hint="eastAsia"/>
        </w:rPr>
        <w:t xml:space="preserve"> cm</w:t>
      </w:r>
      <w:r>
        <w:t>～7</w:t>
      </w:r>
      <w:r>
        <w:rPr>
          <w:rFonts w:hint="eastAsia"/>
        </w:rPr>
        <w:t xml:space="preserve"> cm</w:t>
      </w:r>
      <w:r>
        <w:t>。深水藕</w:t>
      </w:r>
      <w:r>
        <w:rPr>
          <w:rFonts w:hint="eastAsia"/>
        </w:rPr>
        <w:t>不做水位调节，要保证</w:t>
      </w:r>
      <w:r>
        <w:t>使荷叶露出水面，以防淹死。</w:t>
      </w:r>
    </w:p>
    <w:p>
      <w:pPr>
        <w:pStyle w:val="105"/>
        <w:spacing w:before="156" w:after="156"/>
      </w:pPr>
      <w:r>
        <w:t>合理</w:t>
      </w:r>
      <w:r>
        <w:rPr>
          <w:rFonts w:hint="eastAsia"/>
        </w:rPr>
        <w:t>追肥</w:t>
      </w:r>
    </w:p>
    <w:p>
      <w:pPr>
        <w:pStyle w:val="56"/>
        <w:ind w:firstLine="420"/>
      </w:pPr>
      <w:r>
        <w:rPr>
          <w:rFonts w:hint="eastAsia"/>
        </w:rPr>
        <w:t>一般</w:t>
      </w:r>
      <w:r>
        <w:t>每</w:t>
      </w:r>
      <w:r>
        <w:rPr>
          <w:rFonts w:hint="eastAsia"/>
        </w:rPr>
        <w:t>667 m</w:t>
      </w:r>
      <w:r>
        <w:rPr>
          <w:rFonts w:hint="eastAsia"/>
          <w:vertAlign w:val="superscript"/>
        </w:rPr>
        <w:t>2</w:t>
      </w:r>
      <w:r>
        <w:t>冲施3</w:t>
      </w:r>
      <w:r>
        <w:rPr>
          <w:rFonts w:hint="eastAsia"/>
        </w:rPr>
        <w:t xml:space="preserve"> kg</w:t>
      </w:r>
      <w:r>
        <w:t>～5</w:t>
      </w:r>
      <w:r>
        <w:rPr>
          <w:rFonts w:hint="eastAsia"/>
        </w:rPr>
        <w:t xml:space="preserve"> kg有机肥</w:t>
      </w:r>
      <w:r>
        <w:t>，</w:t>
      </w:r>
      <w:r>
        <w:rPr>
          <w:rFonts w:hint="eastAsia"/>
        </w:rPr>
        <w:t>60 d</w:t>
      </w:r>
      <w:r>
        <w:t>～</w:t>
      </w:r>
      <w:r>
        <w:rPr>
          <w:rFonts w:hint="eastAsia"/>
        </w:rPr>
        <w:t>90 d</w:t>
      </w:r>
      <w:r>
        <w:t>冲施一次</w:t>
      </w:r>
      <w:r>
        <w:rPr>
          <w:rFonts w:hint="eastAsia"/>
        </w:rPr>
        <w:t>。</w:t>
      </w:r>
      <w:r>
        <w:rPr>
          <w:rFonts w:hint="eastAsia"/>
          <w:lang w:eastAsia="zh-CN"/>
        </w:rPr>
        <w:t>所追肥料应复合复合</w:t>
      </w:r>
      <w:r>
        <w:rPr>
          <w:rFonts w:hint="eastAsia"/>
        </w:rPr>
        <w:t xml:space="preserve">NY/T </w:t>
      </w:r>
      <w:r>
        <w:rPr>
          <w:rFonts w:hint="eastAsia"/>
          <w:lang w:val="en-US" w:eastAsia="zh-CN"/>
        </w:rPr>
        <w:t>1868</w:t>
      </w:r>
      <w:r>
        <w:rPr>
          <w:rFonts w:hint="eastAsia"/>
        </w:rPr>
        <w:t xml:space="preserve"> </w:t>
      </w:r>
      <w:r>
        <w:rPr>
          <w:rFonts w:hint="eastAsia"/>
          <w:lang w:eastAsia="zh-CN"/>
        </w:rPr>
        <w:t>《</w:t>
      </w:r>
      <w:r>
        <w:rPr>
          <w:rFonts w:hint="eastAsia"/>
        </w:rPr>
        <w:t>肥料</w:t>
      </w:r>
      <w:r>
        <w:rPr>
          <w:rFonts w:hint="eastAsia"/>
          <w:lang w:eastAsia="zh-CN"/>
        </w:rPr>
        <w:t>合理</w:t>
      </w:r>
      <w:r>
        <w:rPr>
          <w:rFonts w:hint="eastAsia"/>
        </w:rPr>
        <w:t>使用准则</w:t>
      </w:r>
      <w:r>
        <w:rPr>
          <w:rFonts w:hint="eastAsia"/>
          <w:lang w:val="en-US" w:eastAsia="zh-CN"/>
        </w:rPr>
        <w:t xml:space="preserve"> 有机肥料</w:t>
      </w:r>
      <w:r>
        <w:rPr>
          <w:rFonts w:hint="eastAsia"/>
          <w:lang w:eastAsia="zh-CN"/>
        </w:rPr>
        <w:t>》、NY/T 798《复合微生物有机肥》</w:t>
      </w:r>
      <w:r>
        <w:rPr>
          <w:rFonts w:hint="eastAsia"/>
          <w:szCs w:val="21"/>
        </w:rPr>
        <w:t>的相关规定</w:t>
      </w:r>
      <w:r>
        <w:rPr>
          <w:rFonts w:hint="eastAsia"/>
          <w:szCs w:val="21"/>
          <w:lang w:eastAsia="zh-CN"/>
        </w:rPr>
        <w:t>。</w:t>
      </w:r>
    </w:p>
    <w:p>
      <w:pPr>
        <w:pStyle w:val="105"/>
        <w:spacing w:before="156" w:after="156"/>
      </w:pPr>
      <w:r>
        <w:t>旋转藕头</w:t>
      </w:r>
    </w:p>
    <w:p>
      <w:pPr>
        <w:pStyle w:val="56"/>
        <w:ind w:firstLine="420"/>
      </w:pPr>
      <w:r>
        <w:t>在新抽生的卷叶离田埂80</w:t>
      </w:r>
      <w:r>
        <w:rPr>
          <w:rFonts w:hint="eastAsia"/>
        </w:rPr>
        <w:t xml:space="preserve"> cm</w:t>
      </w:r>
      <w:r>
        <w:t>～90</w:t>
      </w:r>
      <w:r>
        <w:rPr>
          <w:rFonts w:hint="eastAsia"/>
        </w:rPr>
        <w:t xml:space="preserve"> </w:t>
      </w:r>
      <w:r>
        <w:t>cm时，晴天下午将莲藕前一二节的泥土扒开，露出芽头及莲鞭，用手将莲鞭托起调整方向，</w:t>
      </w:r>
      <w:r>
        <w:rPr>
          <w:rFonts w:hint="eastAsia"/>
        </w:rPr>
        <w:t>再</w:t>
      </w:r>
      <w:r>
        <w:t>埋入泥土中。</w:t>
      </w:r>
    </w:p>
    <w:p>
      <w:pPr>
        <w:pStyle w:val="104"/>
        <w:spacing w:before="312" w:after="312"/>
      </w:pPr>
      <w:bookmarkStart w:id="67" w:name="_Toc126164658"/>
      <w:bookmarkStart w:id="68" w:name="_Toc180752671"/>
      <w:r>
        <w:t>病虫害防治</w:t>
      </w:r>
      <w:bookmarkEnd w:id="67"/>
      <w:bookmarkEnd w:id="68"/>
    </w:p>
    <w:p>
      <w:pPr>
        <w:pStyle w:val="56"/>
        <w:ind w:firstLine="420"/>
      </w:pPr>
      <w:r>
        <w:t>病害主要有腐败病和褐斑病等，虫害有蚜虫和斜纹夜蛾等，主要草害有稗、水莎草、千金子和牛毛毡等。</w:t>
      </w:r>
      <w:r>
        <w:rPr>
          <w:rFonts w:hint="eastAsia"/>
          <w:lang w:eastAsia="zh-CN"/>
        </w:rPr>
        <w:t>药剂使用应符合</w:t>
      </w:r>
      <w:r>
        <w:rPr>
          <w:rFonts w:hint="eastAsia"/>
        </w:rPr>
        <w:t>GB/T 8321</w:t>
      </w:r>
      <w:r>
        <w:rPr>
          <w:rFonts w:hint="eastAsia"/>
          <w:lang w:eastAsia="zh-CN"/>
        </w:rPr>
        <w:t>《</w:t>
      </w:r>
      <w:r>
        <w:rPr>
          <w:rFonts w:hint="eastAsia"/>
        </w:rPr>
        <w:t>农药合理使用准则</w:t>
      </w:r>
      <w:r>
        <w:rPr>
          <w:rFonts w:hint="eastAsia"/>
          <w:lang w:eastAsia="zh-CN"/>
        </w:rPr>
        <w:t>》。</w:t>
      </w:r>
      <w:r>
        <w:rPr>
          <w:rFonts w:hint="eastAsia"/>
        </w:rPr>
        <w:t>防治方法</w:t>
      </w:r>
      <w:r>
        <w:rPr>
          <w:rFonts w:hint="eastAsia"/>
          <w:lang w:eastAsia="zh-CN"/>
        </w:rPr>
        <w:t>详</w:t>
      </w:r>
      <w:r>
        <w:rPr>
          <w:rFonts w:hint="eastAsia"/>
        </w:rPr>
        <w:t>见附录A。</w:t>
      </w:r>
    </w:p>
    <w:p>
      <w:pPr>
        <w:pStyle w:val="104"/>
        <w:spacing w:before="312" w:after="312"/>
      </w:pPr>
      <w:bookmarkStart w:id="69" w:name="_Toc126164659"/>
      <w:bookmarkStart w:id="70" w:name="_Toc180752672"/>
      <w:r>
        <w:t>采收</w:t>
      </w:r>
      <w:bookmarkEnd w:id="69"/>
      <w:bookmarkEnd w:id="70"/>
    </w:p>
    <w:p>
      <w:pPr>
        <w:pStyle w:val="105"/>
        <w:spacing w:before="156" w:after="156"/>
      </w:pPr>
      <w:r>
        <w:t>时间</w:t>
      </w:r>
    </w:p>
    <w:p>
      <w:pPr>
        <w:pStyle w:val="56"/>
        <w:ind w:firstLine="420"/>
      </w:pPr>
      <w:r>
        <w:rPr>
          <w:rFonts w:hint="eastAsia"/>
        </w:rPr>
        <w:t>一般</w:t>
      </w:r>
      <w:r>
        <w:t>于秋末冬</w:t>
      </w:r>
      <w:r>
        <w:rPr>
          <w:rFonts w:hint="eastAsia"/>
          <w:lang w:eastAsia="zh-CN"/>
        </w:rPr>
        <w:t>初</w:t>
      </w:r>
      <w:r>
        <w:t>进行,</w:t>
      </w:r>
      <w:r>
        <w:rPr>
          <w:rFonts w:hint="eastAsia"/>
          <w:lang w:eastAsia="zh-CN"/>
        </w:rPr>
        <w:t>在终止叶的叶背呈微红色且基部立叶边缘</w:t>
      </w:r>
      <w:r>
        <w:rPr>
          <w:rFonts w:hint="eastAsia"/>
          <w:lang w:val="en-US" w:eastAsia="zh-CN"/>
        </w:rPr>
        <w:t>枯黄时开始采收。</w:t>
      </w:r>
    </w:p>
    <w:p>
      <w:pPr>
        <w:pStyle w:val="105"/>
        <w:spacing w:before="156" w:after="156"/>
      </w:pPr>
      <w:r>
        <w:t>方法</w:t>
      </w:r>
    </w:p>
    <w:p>
      <w:pPr>
        <w:pStyle w:val="65"/>
        <w:spacing w:before="156" w:after="156"/>
      </w:pPr>
      <w:r>
        <w:t>浅水藕</w:t>
      </w:r>
    </w:p>
    <w:p>
      <w:pPr>
        <w:pStyle w:val="56"/>
        <w:ind w:firstLine="420"/>
        <w:rPr>
          <w:rFonts w:hint="eastAsia" w:eastAsia="宋体"/>
          <w:lang w:eastAsia="zh-CN"/>
        </w:rPr>
      </w:pPr>
      <w:r>
        <w:rPr>
          <w:rFonts w:hint="eastAsia"/>
          <w:lang w:eastAsia="zh-CN"/>
        </w:rPr>
        <w:t>一般在排干水后采收。人工采收先</w:t>
      </w:r>
      <w:r>
        <w:t>根据莲藕的位置，将莲藕周围的泥土挖出，沿着莲藕</w:t>
      </w:r>
      <w:r>
        <w:rPr>
          <w:rFonts w:hint="eastAsia"/>
          <w:lang w:eastAsia="zh-CN"/>
        </w:rPr>
        <w:t>叶片</w:t>
      </w:r>
      <w:r>
        <w:t>掰下鞭子，</w:t>
      </w:r>
      <w:r>
        <w:rPr>
          <w:rFonts w:hint="eastAsia"/>
          <w:lang w:eastAsia="zh-CN"/>
        </w:rPr>
        <w:t>最后将</w:t>
      </w:r>
      <w:r>
        <w:t>整个莲藕挖出。</w:t>
      </w:r>
      <w:r>
        <w:rPr>
          <w:rFonts w:hint="eastAsia"/>
          <w:lang w:eastAsia="zh-CN"/>
        </w:rPr>
        <w:t>或使用机械收获。</w:t>
      </w:r>
    </w:p>
    <w:p>
      <w:pPr>
        <w:pStyle w:val="65"/>
        <w:spacing w:before="156" w:after="156"/>
      </w:pPr>
      <w:r>
        <w:t>深水藕</w:t>
      </w:r>
    </w:p>
    <w:p>
      <w:pPr>
        <w:pStyle w:val="56"/>
        <w:ind w:firstLine="420"/>
      </w:pPr>
      <w:r>
        <w:rPr>
          <w:rFonts w:hint="eastAsia"/>
          <w:lang w:eastAsia="zh-CN"/>
        </w:rPr>
        <w:t>以带水采收为主。人工采收先</w:t>
      </w:r>
      <w:r>
        <w:t>确定</w:t>
      </w:r>
      <w:r>
        <w:rPr>
          <w:rFonts w:hint="eastAsia"/>
          <w:lang w:eastAsia="zh-CN"/>
        </w:rPr>
        <w:t>莲</w:t>
      </w:r>
      <w:r>
        <w:t>藕的位置，脚踢开莲藕两边的泥土，踩上鞭抓后柄，手握莲藕的中部，轻轻地将莲藕拔出水面。</w:t>
      </w:r>
      <w:r>
        <w:rPr>
          <w:rFonts w:hint="eastAsia"/>
          <w:lang w:eastAsia="zh-CN"/>
        </w:rPr>
        <w:t>或使用机械收获。</w:t>
      </w:r>
    </w:p>
    <w:p>
      <w:pPr>
        <w:pStyle w:val="104"/>
        <w:spacing w:before="312" w:after="312"/>
      </w:pPr>
      <w:bookmarkStart w:id="71" w:name="_Toc126164660"/>
      <w:bookmarkStart w:id="72" w:name="_Toc180752673"/>
      <w:r>
        <w:rPr>
          <w:rFonts w:hint="eastAsia"/>
        </w:rPr>
        <w:t>档案管理</w:t>
      </w:r>
      <w:bookmarkEnd w:id="71"/>
      <w:bookmarkEnd w:id="72"/>
    </w:p>
    <w:p>
      <w:pPr>
        <w:pStyle w:val="56"/>
        <w:ind w:firstLine="420"/>
      </w:pPr>
      <w:r>
        <w:t>全程记录莲藕生产档案，详见附录</w:t>
      </w:r>
      <w:r>
        <w:rPr>
          <w:rFonts w:hint="eastAsia"/>
        </w:rPr>
        <w:t>B</w:t>
      </w:r>
      <w:r>
        <w:t>。</w:t>
      </w:r>
      <w:bookmarkStart w:id="73" w:name="_Toc22899"/>
      <w:bookmarkEnd w:id="73"/>
      <w:bookmarkStart w:id="74" w:name="_Toc40279329"/>
      <w:bookmarkEnd w:id="74"/>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p>
    <w:bookmarkEnd w:id="24"/>
    <w:p>
      <w:pPr>
        <w:pStyle w:val="198"/>
        <w:rPr>
          <w:vanish w:val="0"/>
        </w:rPr>
      </w:pPr>
      <w:bookmarkStart w:id="75" w:name="BookMark5"/>
    </w:p>
    <w:p>
      <w:pPr>
        <w:pStyle w:val="199"/>
        <w:rPr>
          <w:vanish w:val="0"/>
        </w:rPr>
      </w:pPr>
    </w:p>
    <w:p>
      <w:pPr>
        <w:pStyle w:val="76"/>
        <w:spacing w:after="156"/>
      </w:pPr>
      <w:bookmarkStart w:id="76" w:name="_Toc180752674"/>
    </w:p>
    <w:p>
      <w:pPr>
        <w:pStyle w:val="76"/>
        <w:numPr>
          <w:ilvl w:val="0"/>
          <w:numId w:val="0"/>
        </w:numPr>
        <w:spacing w:after="156"/>
        <w:ind w:leftChars="0"/>
        <w:jc w:val="center"/>
      </w:pPr>
      <w:r>
        <w:rPr>
          <w:rFonts w:hint="eastAsia"/>
        </w:rPr>
        <w:t>（资料性）</w:t>
      </w:r>
    </w:p>
    <w:p>
      <w:pPr>
        <w:pStyle w:val="76"/>
        <w:numPr>
          <w:ilvl w:val="0"/>
          <w:numId w:val="0"/>
        </w:numPr>
        <w:spacing w:after="156"/>
        <w:ind w:leftChars="0"/>
        <w:jc w:val="center"/>
      </w:pPr>
      <w:r>
        <w:rPr>
          <w:rFonts w:hint="eastAsia"/>
        </w:rPr>
        <w:t>莲藕生态种植技术主要病虫草害防治方法</w:t>
      </w:r>
      <w:bookmarkEnd w:id="76"/>
    </w:p>
    <w:p>
      <w:pPr>
        <w:pStyle w:val="56"/>
        <w:ind w:firstLine="420"/>
      </w:pPr>
      <w:r>
        <w:rPr>
          <w:rFonts w:hint="eastAsia"/>
        </w:rPr>
        <w:t>表A．1给出了莲藕生态种植技术主要病虫草害防治方法。</w:t>
      </w:r>
    </w:p>
    <w:p>
      <w:pPr>
        <w:pStyle w:val="77"/>
        <w:spacing w:before="156" w:after="156"/>
        <w:rPr>
          <w:rFonts w:hint="eastAsia"/>
        </w:rPr>
      </w:pPr>
      <w:r>
        <w:rPr>
          <w:rFonts w:hint="eastAsia"/>
        </w:rPr>
        <w:t>莲藕生态种植技术主要病虫草害防治方法表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57"/>
        <w:gridCol w:w="1276"/>
        <w:gridCol w:w="1559"/>
        <w:gridCol w:w="1134"/>
        <w:gridCol w:w="1985"/>
        <w:gridCol w:w="1276"/>
        <w:gridCol w:w="154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57" w:type="dxa"/>
            <w:tcBorders>
              <w:top w:val="single" w:color="auto" w:sz="8" w:space="0"/>
              <w:bottom w:val="single" w:color="auto" w:sz="8" w:space="0"/>
            </w:tcBorders>
            <w:shd w:val="clear" w:color="auto" w:fill="auto"/>
            <w:vAlign w:val="center"/>
          </w:tcPr>
          <w:p>
            <w:pPr>
              <w:pStyle w:val="178"/>
            </w:pPr>
            <w:r>
              <w:rPr>
                <w:rFonts w:hint="eastAsia" w:ascii="Times New Roman"/>
                <w:kern w:val="2"/>
                <w:szCs w:val="24"/>
              </w:rPr>
              <w:t>序号</w:t>
            </w:r>
          </w:p>
        </w:tc>
        <w:tc>
          <w:tcPr>
            <w:tcW w:w="1276" w:type="dxa"/>
            <w:tcBorders>
              <w:top w:val="single" w:color="auto" w:sz="8" w:space="0"/>
              <w:bottom w:val="single" w:color="auto" w:sz="8" w:space="0"/>
            </w:tcBorders>
            <w:shd w:val="clear" w:color="auto" w:fill="auto"/>
            <w:vAlign w:val="center"/>
          </w:tcPr>
          <w:p>
            <w:pPr>
              <w:pStyle w:val="178"/>
            </w:pPr>
            <w:r>
              <w:rPr>
                <w:rFonts w:hint="eastAsia" w:ascii="Times New Roman"/>
                <w:kern w:val="2"/>
                <w:szCs w:val="24"/>
              </w:rPr>
              <w:t>防治对象</w:t>
            </w:r>
          </w:p>
        </w:tc>
        <w:tc>
          <w:tcPr>
            <w:tcW w:w="1559" w:type="dxa"/>
            <w:tcBorders>
              <w:top w:val="single" w:color="auto" w:sz="8" w:space="0"/>
              <w:bottom w:val="single" w:color="auto" w:sz="8" w:space="0"/>
            </w:tcBorders>
            <w:shd w:val="clear" w:color="auto" w:fill="auto"/>
            <w:vAlign w:val="center"/>
          </w:tcPr>
          <w:p>
            <w:pPr>
              <w:pStyle w:val="178"/>
            </w:pPr>
            <w:r>
              <w:rPr>
                <w:rFonts w:hint="eastAsia" w:ascii="Times New Roman"/>
                <w:kern w:val="2"/>
                <w:szCs w:val="24"/>
              </w:rPr>
              <w:t>农药名称</w:t>
            </w:r>
          </w:p>
        </w:tc>
        <w:tc>
          <w:tcPr>
            <w:tcW w:w="1134" w:type="dxa"/>
            <w:tcBorders>
              <w:top w:val="single" w:color="auto" w:sz="8" w:space="0"/>
              <w:bottom w:val="single" w:color="auto" w:sz="8" w:space="0"/>
            </w:tcBorders>
            <w:shd w:val="clear" w:color="auto" w:fill="auto"/>
            <w:vAlign w:val="center"/>
          </w:tcPr>
          <w:p>
            <w:pPr>
              <w:pStyle w:val="178"/>
            </w:pPr>
            <w:r>
              <w:rPr>
                <w:rFonts w:hint="eastAsia" w:ascii="Times New Roman"/>
                <w:kern w:val="2"/>
                <w:szCs w:val="24"/>
              </w:rPr>
              <w:t>类型</w:t>
            </w:r>
          </w:p>
        </w:tc>
        <w:tc>
          <w:tcPr>
            <w:tcW w:w="1985" w:type="dxa"/>
            <w:tcBorders>
              <w:top w:val="single" w:color="auto" w:sz="8" w:space="0"/>
              <w:bottom w:val="single" w:color="auto" w:sz="8" w:space="0"/>
            </w:tcBorders>
            <w:shd w:val="clear" w:color="auto" w:fill="auto"/>
            <w:vAlign w:val="center"/>
          </w:tcPr>
          <w:p>
            <w:pPr>
              <w:pStyle w:val="178"/>
            </w:pPr>
            <w:r>
              <w:rPr>
                <w:rFonts w:hint="eastAsia" w:ascii="Times New Roman"/>
                <w:kern w:val="2"/>
                <w:szCs w:val="24"/>
              </w:rPr>
              <w:t>使用方法</w:t>
            </w:r>
          </w:p>
        </w:tc>
        <w:tc>
          <w:tcPr>
            <w:tcW w:w="1276" w:type="dxa"/>
            <w:tcBorders>
              <w:top w:val="single" w:color="auto" w:sz="8" w:space="0"/>
              <w:bottom w:val="single" w:color="auto" w:sz="8" w:space="0"/>
            </w:tcBorders>
            <w:shd w:val="clear" w:color="auto" w:fill="auto"/>
            <w:vAlign w:val="center"/>
          </w:tcPr>
          <w:p>
            <w:pPr>
              <w:pStyle w:val="178"/>
            </w:pPr>
            <w:r>
              <w:rPr>
                <w:rFonts w:hint="eastAsia" w:ascii="Times New Roman"/>
                <w:kern w:val="2"/>
                <w:szCs w:val="24"/>
              </w:rPr>
              <w:t>安全间隔期</w:t>
            </w:r>
          </w:p>
        </w:tc>
        <w:tc>
          <w:tcPr>
            <w:tcW w:w="1547" w:type="dxa"/>
            <w:tcBorders>
              <w:top w:val="single" w:color="auto" w:sz="8" w:space="0"/>
              <w:bottom w:val="single" w:color="auto" w:sz="8" w:space="0"/>
            </w:tcBorders>
            <w:shd w:val="clear" w:color="auto" w:fill="auto"/>
            <w:vAlign w:val="center"/>
          </w:tcPr>
          <w:p>
            <w:pPr>
              <w:pStyle w:val="178"/>
            </w:pPr>
            <w:r>
              <w:rPr>
                <w:rFonts w:hint="eastAsia" w:ascii="Times New Roman"/>
                <w:kern w:val="2"/>
                <w:szCs w:val="24"/>
              </w:rPr>
              <w:t>每季最多使用次数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Borders>
              <w:top w:val="single" w:color="auto" w:sz="8" w:space="0"/>
            </w:tcBorders>
            <w:shd w:val="clear" w:color="auto" w:fill="auto"/>
          </w:tcPr>
          <w:p>
            <w:pPr>
              <w:pStyle w:val="178"/>
            </w:pPr>
            <w:r>
              <w:rPr>
                <w:rFonts w:hint="eastAsia" w:ascii="Times New Roman"/>
                <w:kern w:val="2"/>
                <w:szCs w:val="24"/>
              </w:rPr>
              <w:t>1</w:t>
            </w:r>
          </w:p>
        </w:tc>
        <w:tc>
          <w:tcPr>
            <w:tcW w:w="1276" w:type="dxa"/>
            <w:tcBorders>
              <w:top w:val="single" w:color="auto" w:sz="8" w:space="0"/>
            </w:tcBorders>
            <w:shd w:val="clear" w:color="auto" w:fill="auto"/>
          </w:tcPr>
          <w:p>
            <w:pPr>
              <w:pStyle w:val="178"/>
            </w:pPr>
            <w:r>
              <w:rPr>
                <w:rFonts w:ascii="Times New Roman"/>
                <w:kern w:val="2"/>
                <w:szCs w:val="24"/>
              </w:rPr>
              <w:t>腐败病</w:t>
            </w:r>
          </w:p>
        </w:tc>
        <w:tc>
          <w:tcPr>
            <w:tcW w:w="1559" w:type="dxa"/>
            <w:tcBorders>
              <w:top w:val="single" w:color="auto" w:sz="8" w:space="0"/>
            </w:tcBorders>
            <w:shd w:val="clear" w:color="auto" w:fill="auto"/>
          </w:tcPr>
          <w:p>
            <w:pPr>
              <w:pStyle w:val="178"/>
            </w:pPr>
            <w:r>
              <w:rPr>
                <w:rFonts w:hint="eastAsia"/>
              </w:rPr>
              <w:t>50%多菌灵</w:t>
            </w:r>
          </w:p>
        </w:tc>
        <w:tc>
          <w:tcPr>
            <w:tcW w:w="1134" w:type="dxa"/>
            <w:tcBorders>
              <w:top w:val="single" w:color="auto" w:sz="8" w:space="0"/>
            </w:tcBorders>
            <w:shd w:val="clear" w:color="auto" w:fill="auto"/>
          </w:tcPr>
          <w:p>
            <w:pPr>
              <w:pStyle w:val="178"/>
            </w:pPr>
            <w:r>
              <w:rPr>
                <w:rFonts w:hint="eastAsia" w:ascii="Times New Roman"/>
                <w:kern w:val="2"/>
                <w:szCs w:val="24"/>
              </w:rPr>
              <w:t>可湿性粉剂</w:t>
            </w:r>
          </w:p>
        </w:tc>
        <w:tc>
          <w:tcPr>
            <w:tcW w:w="1985" w:type="dxa"/>
            <w:tcBorders>
              <w:top w:val="single" w:color="auto" w:sz="8" w:space="0"/>
            </w:tcBorders>
            <w:shd w:val="clear" w:color="auto" w:fill="auto"/>
          </w:tcPr>
          <w:p>
            <w:pPr>
              <w:pStyle w:val="178"/>
            </w:pPr>
            <w:r>
              <w:rPr>
                <w:rFonts w:hint="eastAsia" w:ascii="Times New Roman"/>
                <w:kern w:val="2"/>
                <w:szCs w:val="24"/>
              </w:rPr>
              <w:t>600倍液</w:t>
            </w:r>
          </w:p>
        </w:tc>
        <w:tc>
          <w:tcPr>
            <w:tcW w:w="1276" w:type="dxa"/>
            <w:tcBorders>
              <w:top w:val="single" w:color="auto" w:sz="8" w:space="0"/>
            </w:tcBorders>
            <w:shd w:val="clear" w:color="auto" w:fill="auto"/>
          </w:tcPr>
          <w:p>
            <w:pPr>
              <w:pStyle w:val="178"/>
            </w:pPr>
            <w:r>
              <w:rPr>
                <w:rFonts w:hint="eastAsia" w:ascii="Times New Roman"/>
                <w:kern w:val="2"/>
                <w:szCs w:val="24"/>
              </w:rPr>
              <w:t>15</w:t>
            </w:r>
          </w:p>
        </w:tc>
        <w:tc>
          <w:tcPr>
            <w:tcW w:w="1547" w:type="dxa"/>
            <w:tcBorders>
              <w:top w:val="single" w:color="auto" w:sz="8" w:space="0"/>
            </w:tcBorders>
            <w:shd w:val="clear" w:color="auto" w:fill="auto"/>
          </w:tcPr>
          <w:p>
            <w:pPr>
              <w:pStyle w:val="178"/>
            </w:pPr>
            <w:r>
              <w:rPr>
                <w:rFonts w:hint="eastAsia" w:ascii="Times New Roman"/>
                <w:kern w:val="2"/>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tcPr>
          <w:p>
            <w:pPr>
              <w:pStyle w:val="178"/>
            </w:pPr>
            <w:r>
              <w:rPr>
                <w:rFonts w:hint="eastAsia" w:ascii="Times New Roman"/>
                <w:kern w:val="2"/>
                <w:szCs w:val="24"/>
              </w:rPr>
              <w:t>2</w:t>
            </w:r>
          </w:p>
        </w:tc>
        <w:tc>
          <w:tcPr>
            <w:tcW w:w="1276" w:type="dxa"/>
            <w:shd w:val="clear" w:color="auto" w:fill="auto"/>
          </w:tcPr>
          <w:p>
            <w:pPr>
              <w:pStyle w:val="178"/>
            </w:pPr>
            <w:r>
              <w:rPr>
                <w:rFonts w:ascii="Times New Roman"/>
                <w:kern w:val="2"/>
                <w:szCs w:val="24"/>
              </w:rPr>
              <w:t>腐败病</w:t>
            </w:r>
          </w:p>
        </w:tc>
        <w:tc>
          <w:tcPr>
            <w:tcW w:w="1559" w:type="dxa"/>
            <w:shd w:val="clear" w:color="auto" w:fill="auto"/>
          </w:tcPr>
          <w:p>
            <w:pPr>
              <w:pStyle w:val="178"/>
              <w:rPr>
                <w:rFonts w:hint="default" w:eastAsia="宋体"/>
                <w:lang w:val="en-US" w:eastAsia="zh-CN"/>
              </w:rPr>
            </w:pPr>
            <w:r>
              <w:rPr>
                <w:rFonts w:hint="eastAsia"/>
                <w:lang w:val="en-US" w:eastAsia="zh-CN"/>
              </w:rPr>
              <w:t>10%苯醚甲环唑水分散颗粒剂</w:t>
            </w:r>
          </w:p>
        </w:tc>
        <w:tc>
          <w:tcPr>
            <w:tcW w:w="1134" w:type="dxa"/>
            <w:shd w:val="clear" w:color="auto" w:fill="auto"/>
            <w:vAlign w:val="top"/>
          </w:tcPr>
          <w:p>
            <w:pPr>
              <w:pStyle w:val="178"/>
              <w:ind w:firstLine="0" w:firstLineChars="0"/>
              <w:rPr>
                <w:rFonts w:ascii="宋体" w:hAnsi="Times New Roman" w:eastAsia="宋体" w:cs="Times New Roman"/>
                <w:sz w:val="18"/>
                <w:lang w:val="en-US" w:eastAsia="zh-CN" w:bidi="ar-SA"/>
              </w:rPr>
            </w:pPr>
            <w:r>
              <w:rPr>
                <w:rFonts w:hint="eastAsia" w:ascii="Times New Roman"/>
                <w:kern w:val="2"/>
                <w:szCs w:val="24"/>
              </w:rPr>
              <w:t>可湿性粉剂</w:t>
            </w:r>
          </w:p>
        </w:tc>
        <w:tc>
          <w:tcPr>
            <w:tcW w:w="1985" w:type="dxa"/>
            <w:shd w:val="clear" w:color="auto" w:fill="auto"/>
            <w:vAlign w:val="top"/>
          </w:tcPr>
          <w:p>
            <w:pPr>
              <w:pStyle w:val="178"/>
              <w:ind w:firstLine="0" w:firstLineChars="0"/>
              <w:rPr>
                <w:rFonts w:ascii="宋体" w:hAnsi="Times New Roman" w:eastAsia="宋体" w:cs="Times New Roman"/>
                <w:sz w:val="18"/>
                <w:lang w:val="en-US" w:eastAsia="zh-CN" w:bidi="ar-SA"/>
              </w:rPr>
            </w:pPr>
            <w:r>
              <w:rPr>
                <w:rFonts w:hint="eastAsia" w:ascii="Times New Roman"/>
                <w:kern w:val="2"/>
                <w:szCs w:val="24"/>
                <w:lang w:val="en-US" w:eastAsia="zh-CN"/>
              </w:rPr>
              <w:t>30</w:t>
            </w:r>
            <w:r>
              <w:rPr>
                <w:rFonts w:hint="eastAsia" w:ascii="Times New Roman"/>
                <w:kern w:val="2"/>
                <w:szCs w:val="24"/>
              </w:rPr>
              <w:t>00~</w:t>
            </w:r>
            <w:r>
              <w:rPr>
                <w:rFonts w:hint="eastAsia" w:ascii="Times New Roman"/>
                <w:kern w:val="2"/>
                <w:szCs w:val="24"/>
                <w:lang w:val="en-US" w:eastAsia="zh-CN"/>
              </w:rPr>
              <w:t>5000</w:t>
            </w:r>
            <w:r>
              <w:rPr>
                <w:rFonts w:hint="eastAsia" w:ascii="Times New Roman"/>
                <w:kern w:val="2"/>
                <w:szCs w:val="24"/>
              </w:rPr>
              <w:t>倍液</w:t>
            </w:r>
          </w:p>
        </w:tc>
        <w:tc>
          <w:tcPr>
            <w:tcW w:w="1276" w:type="dxa"/>
            <w:shd w:val="clear" w:color="auto" w:fill="auto"/>
          </w:tcPr>
          <w:p>
            <w:pPr>
              <w:pStyle w:val="178"/>
              <w:rPr>
                <w:rFonts w:hint="default" w:eastAsia="宋体"/>
                <w:lang w:val="en-US" w:eastAsia="zh-CN"/>
              </w:rPr>
            </w:pPr>
            <w:r>
              <w:rPr>
                <w:rFonts w:hint="eastAsia"/>
                <w:lang w:val="en-US" w:eastAsia="zh-CN"/>
              </w:rPr>
              <w:t>10</w:t>
            </w:r>
          </w:p>
        </w:tc>
        <w:tc>
          <w:tcPr>
            <w:tcW w:w="1547" w:type="dxa"/>
            <w:shd w:val="clear" w:color="auto" w:fill="auto"/>
          </w:tcPr>
          <w:p>
            <w:pPr>
              <w:pStyle w:val="178"/>
              <w:rPr>
                <w:rFonts w:hint="eastAsia" w:eastAsia="宋体"/>
                <w:lang w:val="en-US" w:eastAsia="zh-CN"/>
              </w:rPr>
            </w:pPr>
            <w:r>
              <w:rPr>
                <w:rFonts w:hint="eastAsia"/>
                <w:lang w:val="en-US" w:eastAsia="zh-CN"/>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tcPr>
          <w:p>
            <w:pPr>
              <w:pStyle w:val="178"/>
            </w:pPr>
            <w:r>
              <w:rPr>
                <w:rFonts w:hint="eastAsia" w:ascii="Times New Roman"/>
                <w:kern w:val="2"/>
                <w:szCs w:val="24"/>
              </w:rPr>
              <w:t>3</w:t>
            </w:r>
          </w:p>
        </w:tc>
        <w:tc>
          <w:tcPr>
            <w:tcW w:w="1276" w:type="dxa"/>
            <w:shd w:val="clear" w:color="auto" w:fill="auto"/>
            <w:vAlign w:val="top"/>
          </w:tcPr>
          <w:p>
            <w:pPr>
              <w:pStyle w:val="178"/>
              <w:ind w:firstLine="0" w:firstLineChars="0"/>
              <w:rPr>
                <w:rFonts w:ascii="宋体" w:hAnsi="Times New Roman" w:eastAsia="宋体" w:cs="Times New Roman"/>
                <w:sz w:val="18"/>
                <w:lang w:val="en-US" w:eastAsia="zh-CN" w:bidi="ar-SA"/>
              </w:rPr>
            </w:pPr>
            <w:r>
              <w:rPr>
                <w:rFonts w:hint="eastAsia" w:ascii="Times New Roman"/>
                <w:kern w:val="2"/>
                <w:szCs w:val="24"/>
              </w:rPr>
              <w:t>叶</w:t>
            </w:r>
            <w:r>
              <w:rPr>
                <w:rFonts w:ascii="Times New Roman"/>
                <w:kern w:val="2"/>
                <w:szCs w:val="24"/>
              </w:rPr>
              <w:t>斑病</w:t>
            </w:r>
          </w:p>
        </w:tc>
        <w:tc>
          <w:tcPr>
            <w:tcW w:w="1559" w:type="dxa"/>
            <w:shd w:val="clear" w:color="auto" w:fill="auto"/>
            <w:vAlign w:val="top"/>
          </w:tcPr>
          <w:p>
            <w:pPr>
              <w:pStyle w:val="178"/>
              <w:ind w:firstLine="0" w:firstLineChars="0"/>
              <w:rPr>
                <w:rFonts w:ascii="宋体" w:hAnsi="Times New Roman" w:eastAsia="宋体" w:cs="Times New Roman"/>
                <w:sz w:val="18"/>
                <w:lang w:val="en-US" w:eastAsia="zh-CN" w:bidi="ar-SA"/>
              </w:rPr>
            </w:pPr>
            <w:r>
              <w:rPr>
                <w:rFonts w:hint="eastAsia"/>
              </w:rPr>
              <w:t>80%多菌灵</w:t>
            </w:r>
          </w:p>
        </w:tc>
        <w:tc>
          <w:tcPr>
            <w:tcW w:w="1134" w:type="dxa"/>
            <w:shd w:val="clear" w:color="auto" w:fill="auto"/>
            <w:vAlign w:val="top"/>
          </w:tcPr>
          <w:p>
            <w:pPr>
              <w:pStyle w:val="178"/>
              <w:ind w:firstLine="0" w:firstLineChars="0"/>
              <w:rPr>
                <w:rFonts w:ascii="宋体" w:hAnsi="Times New Roman" w:eastAsia="宋体" w:cs="Times New Roman"/>
                <w:sz w:val="18"/>
                <w:lang w:val="en-US" w:eastAsia="zh-CN" w:bidi="ar-SA"/>
              </w:rPr>
            </w:pPr>
            <w:r>
              <w:rPr>
                <w:rFonts w:hint="eastAsia" w:ascii="Times New Roman"/>
                <w:kern w:val="2"/>
                <w:szCs w:val="24"/>
              </w:rPr>
              <w:t>可湿性粉剂</w:t>
            </w:r>
          </w:p>
        </w:tc>
        <w:tc>
          <w:tcPr>
            <w:tcW w:w="1985" w:type="dxa"/>
            <w:shd w:val="clear" w:color="auto" w:fill="auto"/>
            <w:vAlign w:val="top"/>
          </w:tcPr>
          <w:p>
            <w:pPr>
              <w:pStyle w:val="178"/>
              <w:ind w:firstLine="0" w:firstLineChars="0"/>
              <w:rPr>
                <w:rFonts w:ascii="宋体" w:hAnsi="Times New Roman" w:eastAsia="宋体" w:cs="Times New Roman"/>
                <w:sz w:val="18"/>
                <w:lang w:val="en-US" w:eastAsia="zh-CN" w:bidi="ar-SA"/>
              </w:rPr>
            </w:pPr>
            <w:r>
              <w:rPr>
                <w:rFonts w:hint="eastAsia" w:ascii="Times New Roman"/>
                <w:kern w:val="2"/>
                <w:szCs w:val="24"/>
              </w:rPr>
              <w:t>30~37g/</w:t>
            </w:r>
            <w:r>
              <w:rPr>
                <w:rFonts w:hint="eastAsia" w:ascii="Times New Roman"/>
              </w:rPr>
              <w:t>667m</w:t>
            </w:r>
            <w:r>
              <w:rPr>
                <w:rFonts w:hint="eastAsia" w:ascii="Times New Roman"/>
                <w:vertAlign w:val="superscript"/>
              </w:rPr>
              <w:t>2</w:t>
            </w:r>
            <w:r>
              <w:rPr>
                <w:rFonts w:hint="eastAsia" w:ascii="Times New Roman"/>
                <w:kern w:val="2"/>
                <w:szCs w:val="24"/>
              </w:rPr>
              <w:t>，喷雾</w:t>
            </w:r>
          </w:p>
        </w:tc>
        <w:tc>
          <w:tcPr>
            <w:tcW w:w="1276" w:type="dxa"/>
            <w:shd w:val="clear" w:color="auto" w:fill="auto"/>
            <w:vAlign w:val="top"/>
          </w:tcPr>
          <w:p>
            <w:pPr>
              <w:pStyle w:val="178"/>
              <w:ind w:firstLine="0" w:firstLineChars="0"/>
              <w:rPr>
                <w:rFonts w:ascii="宋体" w:hAnsi="Times New Roman" w:eastAsia="宋体" w:cs="Times New Roman"/>
                <w:sz w:val="18"/>
                <w:lang w:val="en-US" w:eastAsia="zh-CN" w:bidi="ar-SA"/>
              </w:rPr>
            </w:pPr>
            <w:r>
              <w:rPr>
                <w:rFonts w:hint="eastAsia" w:ascii="Times New Roman"/>
                <w:kern w:val="2"/>
                <w:szCs w:val="24"/>
              </w:rPr>
              <w:t>28</w:t>
            </w:r>
          </w:p>
        </w:tc>
        <w:tc>
          <w:tcPr>
            <w:tcW w:w="1547" w:type="dxa"/>
            <w:shd w:val="clear" w:color="auto" w:fill="auto"/>
            <w:vAlign w:val="top"/>
          </w:tcPr>
          <w:p>
            <w:pPr>
              <w:pStyle w:val="178"/>
              <w:ind w:firstLine="0" w:firstLineChars="0"/>
              <w:rPr>
                <w:rFonts w:ascii="宋体" w:hAnsi="Times New Roman" w:eastAsia="宋体" w:cs="Times New Roman"/>
                <w:sz w:val="18"/>
                <w:lang w:val="en-US" w:eastAsia="zh-CN" w:bidi="ar-SA"/>
              </w:rPr>
            </w:pPr>
            <w:r>
              <w:rPr>
                <w:rFonts w:hint="eastAsia" w:ascii="Times New Roman"/>
                <w:kern w:val="2"/>
                <w:szCs w:val="24"/>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tcPr>
          <w:p>
            <w:pPr>
              <w:pStyle w:val="178"/>
            </w:pPr>
            <w:r>
              <w:rPr>
                <w:rFonts w:hint="eastAsia" w:ascii="Times New Roman"/>
                <w:kern w:val="2"/>
                <w:szCs w:val="24"/>
              </w:rPr>
              <w:t>4</w:t>
            </w:r>
          </w:p>
        </w:tc>
        <w:tc>
          <w:tcPr>
            <w:tcW w:w="1276" w:type="dxa"/>
            <w:shd w:val="clear" w:color="auto" w:fill="auto"/>
          </w:tcPr>
          <w:p>
            <w:pPr>
              <w:pStyle w:val="178"/>
            </w:pPr>
            <w:r>
              <w:rPr>
                <w:rFonts w:hint="eastAsia" w:ascii="Times New Roman"/>
                <w:kern w:val="2"/>
                <w:szCs w:val="24"/>
              </w:rPr>
              <w:t>叶</w:t>
            </w:r>
            <w:r>
              <w:rPr>
                <w:rFonts w:ascii="Times New Roman"/>
                <w:kern w:val="2"/>
                <w:szCs w:val="24"/>
              </w:rPr>
              <w:t>斑病</w:t>
            </w:r>
          </w:p>
        </w:tc>
        <w:tc>
          <w:tcPr>
            <w:tcW w:w="1559" w:type="dxa"/>
            <w:shd w:val="clear" w:color="auto" w:fill="auto"/>
          </w:tcPr>
          <w:p>
            <w:pPr>
              <w:pStyle w:val="178"/>
              <w:rPr>
                <w:rFonts w:hint="eastAsia" w:eastAsia="宋体"/>
                <w:lang w:eastAsia="zh-CN"/>
              </w:rPr>
            </w:pPr>
            <w:r>
              <w:rPr>
                <w:rFonts w:hint="eastAsia"/>
                <w:lang w:eastAsia="zh-CN"/>
              </w:rPr>
              <w:t>枯草芽孢杆菌</w:t>
            </w:r>
            <w:r>
              <w:rPr>
                <w:rFonts w:hint="eastAsia"/>
                <w:lang w:val="en-US" w:eastAsia="zh-CN"/>
              </w:rPr>
              <w:t>1000亿cfu/g</w:t>
            </w:r>
          </w:p>
        </w:tc>
        <w:tc>
          <w:tcPr>
            <w:tcW w:w="1134" w:type="dxa"/>
            <w:shd w:val="clear" w:color="auto" w:fill="auto"/>
          </w:tcPr>
          <w:p>
            <w:pPr>
              <w:pStyle w:val="178"/>
            </w:pPr>
            <w:r>
              <w:rPr>
                <w:rFonts w:hint="eastAsia" w:ascii="Times New Roman"/>
                <w:kern w:val="2"/>
                <w:szCs w:val="24"/>
              </w:rPr>
              <w:t>可湿性粉剂</w:t>
            </w:r>
          </w:p>
        </w:tc>
        <w:tc>
          <w:tcPr>
            <w:tcW w:w="1985" w:type="dxa"/>
            <w:shd w:val="clear" w:color="auto" w:fill="auto"/>
          </w:tcPr>
          <w:p>
            <w:pPr>
              <w:pStyle w:val="178"/>
              <w:rPr>
                <w:rFonts w:hint="default" w:eastAsia="宋体"/>
                <w:lang w:val="en-US" w:eastAsia="zh-CN"/>
              </w:rPr>
            </w:pPr>
            <w:r>
              <w:rPr>
                <w:rFonts w:hint="eastAsia" w:ascii="Times New Roman"/>
                <w:kern w:val="2"/>
                <w:szCs w:val="24"/>
              </w:rPr>
              <w:t>1</w:t>
            </w:r>
            <w:r>
              <w:rPr>
                <w:rFonts w:hint="eastAsia" w:ascii="Times New Roman"/>
                <w:kern w:val="2"/>
                <w:szCs w:val="24"/>
                <w:lang w:val="en-US" w:eastAsia="zh-CN"/>
              </w:rPr>
              <w:t>50</w:t>
            </w:r>
            <w:r>
              <w:rPr>
                <w:rFonts w:hint="eastAsia" w:ascii="Times New Roman"/>
                <w:kern w:val="2"/>
                <w:szCs w:val="24"/>
              </w:rPr>
              <w:t>~2</w:t>
            </w:r>
            <w:r>
              <w:rPr>
                <w:rFonts w:hint="eastAsia" w:ascii="Times New Roman"/>
                <w:kern w:val="2"/>
                <w:szCs w:val="24"/>
                <w:lang w:val="en-US" w:eastAsia="zh-CN"/>
              </w:rPr>
              <w:t>0</w:t>
            </w:r>
            <w:r>
              <w:rPr>
                <w:rFonts w:hint="eastAsia" w:ascii="Times New Roman"/>
                <w:kern w:val="2"/>
                <w:szCs w:val="24"/>
              </w:rPr>
              <w:t>0g/</w:t>
            </w:r>
            <w:r>
              <w:rPr>
                <w:rFonts w:hint="eastAsia" w:ascii="Times New Roman"/>
              </w:rPr>
              <w:t>667m</w:t>
            </w:r>
            <w:r>
              <w:rPr>
                <w:rFonts w:hint="eastAsia" w:ascii="Times New Roman"/>
                <w:vertAlign w:val="superscript"/>
              </w:rPr>
              <w:t>2</w:t>
            </w:r>
            <w:r>
              <w:rPr>
                <w:rFonts w:hint="eastAsia" w:ascii="Times New Roman"/>
                <w:kern w:val="2"/>
                <w:szCs w:val="24"/>
              </w:rPr>
              <w:t>，喷雾</w:t>
            </w:r>
          </w:p>
        </w:tc>
        <w:tc>
          <w:tcPr>
            <w:tcW w:w="1276" w:type="dxa"/>
            <w:shd w:val="clear" w:color="auto" w:fill="auto"/>
            <w:vAlign w:val="top"/>
          </w:tcPr>
          <w:p>
            <w:pPr>
              <w:pStyle w:val="178"/>
              <w:ind w:firstLine="0" w:firstLineChars="0"/>
              <w:rPr>
                <w:rFonts w:hint="eastAsia" w:ascii="宋体" w:hAnsi="Times New Roman" w:eastAsia="宋体" w:cs="Times New Roman"/>
                <w:sz w:val="18"/>
                <w:lang w:val="en-US" w:eastAsia="zh-CN" w:bidi="ar-SA"/>
              </w:rPr>
            </w:pPr>
            <w:r>
              <w:rPr>
                <w:rFonts w:hint="eastAsia" w:ascii="Times New Roman"/>
                <w:kern w:val="2"/>
                <w:szCs w:val="24"/>
              </w:rPr>
              <w:t>—</w:t>
            </w:r>
          </w:p>
        </w:tc>
        <w:tc>
          <w:tcPr>
            <w:tcW w:w="1547" w:type="dxa"/>
            <w:shd w:val="clear" w:color="auto" w:fill="auto"/>
            <w:vAlign w:val="top"/>
          </w:tcPr>
          <w:p>
            <w:pPr>
              <w:pStyle w:val="178"/>
              <w:ind w:firstLine="0" w:firstLineChars="0"/>
              <w:rPr>
                <w:rFonts w:hint="eastAsia" w:ascii="宋体" w:hAnsi="Times New Roman" w:eastAsia="宋体" w:cs="Times New Roman"/>
                <w:sz w:val="18"/>
                <w:lang w:val="en-US" w:eastAsia="zh-CN" w:bidi="ar-SA"/>
              </w:rPr>
            </w:pPr>
            <w:r>
              <w:rPr>
                <w:rFonts w:hint="eastAsia" w:ascii="Times New Roman"/>
                <w:kern w:val="2"/>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tcPr>
          <w:p>
            <w:pPr>
              <w:pStyle w:val="178"/>
              <w:rPr>
                <w:rFonts w:hint="eastAsia" w:eastAsia="宋体"/>
                <w:lang w:val="en-US" w:eastAsia="zh-CN"/>
              </w:rPr>
            </w:pPr>
            <w:r>
              <w:rPr>
                <w:rFonts w:hint="eastAsia"/>
                <w:lang w:val="en-US" w:eastAsia="zh-CN"/>
              </w:rPr>
              <w:t>5</w:t>
            </w:r>
          </w:p>
        </w:tc>
        <w:tc>
          <w:tcPr>
            <w:tcW w:w="1276" w:type="dxa"/>
            <w:shd w:val="clear" w:color="auto" w:fill="auto"/>
            <w:vAlign w:val="top"/>
          </w:tcPr>
          <w:p>
            <w:pPr>
              <w:pStyle w:val="178"/>
              <w:ind w:firstLine="0" w:firstLineChars="0"/>
              <w:rPr>
                <w:rFonts w:ascii="宋体" w:hAnsi="Times New Roman" w:eastAsia="宋体" w:cs="Times New Roman"/>
                <w:sz w:val="18"/>
                <w:lang w:val="en-US" w:eastAsia="zh-CN" w:bidi="ar-SA"/>
              </w:rPr>
            </w:pPr>
            <w:r>
              <w:rPr>
                <w:rFonts w:ascii="Times New Roman"/>
                <w:kern w:val="2"/>
                <w:szCs w:val="24"/>
              </w:rPr>
              <w:t>蚜虫</w:t>
            </w:r>
          </w:p>
        </w:tc>
        <w:tc>
          <w:tcPr>
            <w:tcW w:w="1559" w:type="dxa"/>
            <w:shd w:val="clear" w:color="auto" w:fill="auto"/>
            <w:vAlign w:val="top"/>
          </w:tcPr>
          <w:p>
            <w:pPr>
              <w:pStyle w:val="178"/>
              <w:ind w:firstLine="0" w:firstLineChars="0"/>
              <w:rPr>
                <w:rFonts w:ascii="宋体" w:hAnsi="Times New Roman" w:eastAsia="宋体" w:cs="Times New Roman"/>
                <w:sz w:val="18"/>
                <w:lang w:val="en-US" w:eastAsia="zh-CN" w:bidi="ar-SA"/>
              </w:rPr>
            </w:pPr>
            <w:r>
              <w:rPr>
                <w:rFonts w:hint="eastAsia" w:ascii="Times New Roman"/>
                <w:kern w:val="2"/>
                <w:szCs w:val="24"/>
              </w:rPr>
              <w:t>10%吡虫啉</w:t>
            </w:r>
          </w:p>
        </w:tc>
        <w:tc>
          <w:tcPr>
            <w:tcW w:w="1134" w:type="dxa"/>
            <w:shd w:val="clear" w:color="auto" w:fill="auto"/>
            <w:vAlign w:val="top"/>
          </w:tcPr>
          <w:p>
            <w:pPr>
              <w:pStyle w:val="178"/>
              <w:ind w:firstLine="0" w:firstLineChars="0"/>
              <w:rPr>
                <w:rFonts w:ascii="宋体" w:hAnsi="Times New Roman" w:eastAsia="宋体" w:cs="Times New Roman"/>
                <w:sz w:val="18"/>
                <w:lang w:val="en-US" w:eastAsia="zh-CN" w:bidi="ar-SA"/>
              </w:rPr>
            </w:pPr>
            <w:r>
              <w:rPr>
                <w:rFonts w:hint="eastAsia" w:ascii="Times New Roman"/>
                <w:kern w:val="2"/>
                <w:szCs w:val="24"/>
              </w:rPr>
              <w:t>可湿性粉剂</w:t>
            </w:r>
          </w:p>
        </w:tc>
        <w:tc>
          <w:tcPr>
            <w:tcW w:w="1985" w:type="dxa"/>
            <w:shd w:val="clear" w:color="auto" w:fill="auto"/>
            <w:vAlign w:val="top"/>
          </w:tcPr>
          <w:p>
            <w:pPr>
              <w:pStyle w:val="178"/>
              <w:ind w:firstLine="0" w:firstLineChars="0"/>
              <w:rPr>
                <w:rFonts w:ascii="宋体" w:hAnsi="Times New Roman" w:eastAsia="宋体" w:cs="Times New Roman"/>
                <w:sz w:val="18"/>
                <w:lang w:val="en-US" w:eastAsia="zh-CN" w:bidi="ar-SA"/>
              </w:rPr>
            </w:pPr>
            <w:r>
              <w:rPr>
                <w:rFonts w:hint="eastAsia" w:ascii="Times New Roman"/>
                <w:kern w:val="2"/>
                <w:szCs w:val="24"/>
              </w:rPr>
              <w:t>10~20g/</w:t>
            </w:r>
            <w:r>
              <w:rPr>
                <w:rFonts w:hint="eastAsia" w:ascii="Times New Roman"/>
              </w:rPr>
              <w:t>667m</w:t>
            </w:r>
            <w:r>
              <w:rPr>
                <w:rFonts w:hint="eastAsia" w:ascii="Times New Roman"/>
                <w:vertAlign w:val="superscript"/>
              </w:rPr>
              <w:t>2</w:t>
            </w:r>
            <w:r>
              <w:rPr>
                <w:rFonts w:hint="eastAsia" w:ascii="Times New Roman"/>
                <w:kern w:val="2"/>
                <w:szCs w:val="24"/>
              </w:rPr>
              <w:t>，喷雾</w:t>
            </w:r>
          </w:p>
        </w:tc>
        <w:tc>
          <w:tcPr>
            <w:tcW w:w="1276" w:type="dxa"/>
            <w:shd w:val="clear" w:color="auto" w:fill="auto"/>
            <w:vAlign w:val="top"/>
          </w:tcPr>
          <w:p>
            <w:pPr>
              <w:pStyle w:val="178"/>
              <w:ind w:firstLine="0" w:firstLineChars="0"/>
              <w:rPr>
                <w:rFonts w:ascii="宋体" w:hAnsi="Times New Roman" w:eastAsia="宋体" w:cs="Times New Roman"/>
                <w:sz w:val="18"/>
                <w:lang w:val="en-US" w:eastAsia="zh-CN" w:bidi="ar-SA"/>
              </w:rPr>
            </w:pPr>
            <w:r>
              <w:rPr>
                <w:rFonts w:hint="eastAsia" w:ascii="Times New Roman"/>
                <w:kern w:val="2"/>
                <w:szCs w:val="24"/>
              </w:rPr>
              <w:t>14</w:t>
            </w:r>
          </w:p>
        </w:tc>
        <w:tc>
          <w:tcPr>
            <w:tcW w:w="1547" w:type="dxa"/>
            <w:shd w:val="clear" w:color="auto" w:fill="auto"/>
            <w:vAlign w:val="top"/>
          </w:tcPr>
          <w:p>
            <w:pPr>
              <w:pStyle w:val="178"/>
              <w:ind w:firstLine="0" w:firstLineChars="0"/>
              <w:rPr>
                <w:rFonts w:ascii="宋体" w:hAnsi="Times New Roman" w:eastAsia="宋体" w:cs="Times New Roman"/>
                <w:sz w:val="18"/>
                <w:lang w:val="en-US" w:eastAsia="zh-CN" w:bidi="ar-SA"/>
              </w:rPr>
            </w:pPr>
            <w:r>
              <w:rPr>
                <w:rFonts w:hint="eastAsia" w:ascii="Times New Roman"/>
                <w:kern w:val="2"/>
                <w:szCs w:val="24"/>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tcPr>
          <w:p>
            <w:pPr>
              <w:pStyle w:val="178"/>
              <w:rPr>
                <w:rFonts w:hint="eastAsia" w:ascii="Times New Roman" w:eastAsia="宋体"/>
                <w:kern w:val="2"/>
                <w:szCs w:val="24"/>
                <w:lang w:val="en-US" w:eastAsia="zh-CN"/>
              </w:rPr>
            </w:pPr>
            <w:r>
              <w:rPr>
                <w:rFonts w:hint="eastAsia" w:ascii="Times New Roman"/>
                <w:kern w:val="2"/>
                <w:szCs w:val="24"/>
                <w:lang w:val="en-US" w:eastAsia="zh-CN"/>
              </w:rPr>
              <w:t>6</w:t>
            </w:r>
          </w:p>
        </w:tc>
        <w:tc>
          <w:tcPr>
            <w:tcW w:w="1276" w:type="dxa"/>
            <w:shd w:val="clear" w:color="auto" w:fill="auto"/>
          </w:tcPr>
          <w:p>
            <w:pPr>
              <w:pStyle w:val="178"/>
              <w:rPr>
                <w:rFonts w:hint="eastAsia" w:ascii="Times New Roman" w:eastAsia="宋体"/>
                <w:kern w:val="2"/>
                <w:szCs w:val="24"/>
                <w:lang w:eastAsia="zh-CN"/>
              </w:rPr>
            </w:pPr>
            <w:r>
              <w:rPr>
                <w:rFonts w:hint="eastAsia" w:ascii="Times New Roman"/>
                <w:kern w:val="2"/>
                <w:szCs w:val="24"/>
                <w:lang w:eastAsia="zh-CN"/>
              </w:rPr>
              <w:t>蚜虫</w:t>
            </w:r>
          </w:p>
        </w:tc>
        <w:tc>
          <w:tcPr>
            <w:tcW w:w="1559" w:type="dxa"/>
            <w:shd w:val="clear" w:color="auto" w:fill="auto"/>
          </w:tcPr>
          <w:p>
            <w:pPr>
              <w:pStyle w:val="178"/>
              <w:rPr>
                <w:rFonts w:hint="default" w:ascii="Times New Roman" w:eastAsia="宋体"/>
                <w:kern w:val="2"/>
                <w:szCs w:val="24"/>
                <w:lang w:val="en-US" w:eastAsia="zh-CN"/>
              </w:rPr>
            </w:pPr>
            <w:r>
              <w:rPr>
                <w:rFonts w:hint="eastAsia" w:ascii="Times New Roman"/>
                <w:kern w:val="2"/>
                <w:szCs w:val="24"/>
                <w:lang w:val="en-US" w:eastAsia="zh-CN"/>
              </w:rPr>
              <w:t>25%噻虫嗪水分散粒剂</w:t>
            </w:r>
          </w:p>
        </w:tc>
        <w:tc>
          <w:tcPr>
            <w:tcW w:w="1134" w:type="dxa"/>
            <w:shd w:val="clear" w:color="auto" w:fill="auto"/>
          </w:tcPr>
          <w:p>
            <w:pPr>
              <w:pStyle w:val="178"/>
              <w:rPr>
                <w:rFonts w:hint="eastAsia" w:ascii="Times New Roman"/>
                <w:kern w:val="2"/>
                <w:szCs w:val="24"/>
              </w:rPr>
            </w:pPr>
            <w:r>
              <w:rPr>
                <w:rFonts w:hint="eastAsia" w:ascii="Times New Roman"/>
                <w:kern w:val="2"/>
                <w:szCs w:val="24"/>
              </w:rPr>
              <w:t>可湿性粉剂</w:t>
            </w:r>
          </w:p>
        </w:tc>
        <w:tc>
          <w:tcPr>
            <w:tcW w:w="1985" w:type="dxa"/>
            <w:shd w:val="clear" w:color="auto" w:fill="auto"/>
          </w:tcPr>
          <w:p>
            <w:pPr>
              <w:pStyle w:val="178"/>
              <w:rPr>
                <w:rFonts w:hint="default" w:ascii="Times New Roman" w:eastAsia="宋体"/>
                <w:kern w:val="2"/>
                <w:szCs w:val="24"/>
                <w:lang w:val="en-US" w:eastAsia="zh-CN"/>
              </w:rPr>
            </w:pPr>
            <w:r>
              <w:rPr>
                <w:rFonts w:hint="eastAsia" w:ascii="Times New Roman"/>
                <w:kern w:val="2"/>
                <w:szCs w:val="24"/>
                <w:lang w:val="en-US" w:eastAsia="zh-CN"/>
              </w:rPr>
              <w:t>5000倍液，喷雾</w:t>
            </w:r>
          </w:p>
        </w:tc>
        <w:tc>
          <w:tcPr>
            <w:tcW w:w="1276" w:type="dxa"/>
            <w:shd w:val="clear" w:color="auto" w:fill="auto"/>
          </w:tcPr>
          <w:p>
            <w:pPr>
              <w:pStyle w:val="178"/>
              <w:rPr>
                <w:rFonts w:hint="eastAsia" w:ascii="Times New Roman" w:eastAsia="宋体"/>
                <w:kern w:val="2"/>
                <w:szCs w:val="24"/>
                <w:lang w:val="en-US" w:eastAsia="zh-CN"/>
              </w:rPr>
            </w:pPr>
            <w:r>
              <w:rPr>
                <w:rFonts w:hint="eastAsia" w:ascii="Times New Roman"/>
                <w:kern w:val="2"/>
                <w:szCs w:val="24"/>
                <w:lang w:val="en-US" w:eastAsia="zh-CN"/>
              </w:rPr>
              <w:t>7</w:t>
            </w:r>
          </w:p>
        </w:tc>
        <w:tc>
          <w:tcPr>
            <w:tcW w:w="1547" w:type="dxa"/>
            <w:shd w:val="clear" w:color="auto" w:fill="auto"/>
          </w:tcPr>
          <w:p>
            <w:pPr>
              <w:pStyle w:val="178"/>
              <w:rPr>
                <w:rFonts w:hint="eastAsia" w:ascii="Times New Roman" w:eastAsia="宋体"/>
                <w:kern w:val="2"/>
                <w:szCs w:val="24"/>
                <w:lang w:val="en-US" w:eastAsia="zh-CN"/>
              </w:rPr>
            </w:pPr>
            <w:r>
              <w:rPr>
                <w:rFonts w:hint="eastAsia" w:ascii="Times New Roman"/>
                <w:kern w:val="2"/>
                <w:szCs w:val="24"/>
                <w:lang w:val="en-US" w:eastAsia="zh-CN"/>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tcPr>
          <w:p>
            <w:pPr>
              <w:pStyle w:val="178"/>
              <w:rPr>
                <w:rFonts w:hint="eastAsia" w:ascii="Times New Roman" w:eastAsia="宋体"/>
                <w:kern w:val="2"/>
                <w:szCs w:val="24"/>
                <w:lang w:val="en-US" w:eastAsia="zh-CN"/>
              </w:rPr>
            </w:pPr>
            <w:r>
              <w:rPr>
                <w:rFonts w:hint="eastAsia" w:ascii="Times New Roman"/>
                <w:kern w:val="2"/>
                <w:szCs w:val="24"/>
                <w:lang w:val="en-US" w:eastAsia="zh-CN"/>
              </w:rPr>
              <w:t>7</w:t>
            </w:r>
          </w:p>
        </w:tc>
        <w:tc>
          <w:tcPr>
            <w:tcW w:w="1276" w:type="dxa"/>
            <w:shd w:val="clear" w:color="auto" w:fill="auto"/>
            <w:vAlign w:val="top"/>
          </w:tcPr>
          <w:p>
            <w:pPr>
              <w:pStyle w:val="178"/>
              <w:ind w:firstLine="0" w:firstLineChars="0"/>
              <w:rPr>
                <w:rFonts w:ascii="宋体" w:hAnsi="Times New Roman" w:eastAsia="宋体" w:cs="Times New Roman"/>
                <w:sz w:val="18"/>
                <w:lang w:val="en-US" w:eastAsia="zh-CN" w:bidi="ar-SA"/>
              </w:rPr>
            </w:pPr>
            <w:r>
              <w:rPr>
                <w:rFonts w:ascii="Times New Roman"/>
                <w:kern w:val="2"/>
                <w:szCs w:val="24"/>
              </w:rPr>
              <w:t>斜纹夜蛾</w:t>
            </w:r>
          </w:p>
        </w:tc>
        <w:tc>
          <w:tcPr>
            <w:tcW w:w="1559" w:type="dxa"/>
            <w:shd w:val="clear" w:color="auto" w:fill="auto"/>
            <w:vAlign w:val="top"/>
          </w:tcPr>
          <w:p>
            <w:pPr>
              <w:pStyle w:val="178"/>
              <w:ind w:firstLine="0" w:firstLineChars="0"/>
              <w:rPr>
                <w:rFonts w:hint="eastAsia" w:ascii="宋体" w:hAnsi="Times New Roman" w:eastAsia="宋体" w:cs="Times New Roman"/>
                <w:sz w:val="18"/>
                <w:lang w:val="en-US" w:eastAsia="zh-CN" w:bidi="ar-SA"/>
              </w:rPr>
            </w:pPr>
            <w:r>
              <w:rPr>
                <w:rFonts w:hint="eastAsia" w:ascii="Times New Roman"/>
                <w:kern w:val="2"/>
                <w:szCs w:val="24"/>
              </w:rPr>
              <w:t>斜纹夜蛾核型多角体病毒20亿PIB/mL</w:t>
            </w:r>
          </w:p>
        </w:tc>
        <w:tc>
          <w:tcPr>
            <w:tcW w:w="1134" w:type="dxa"/>
            <w:shd w:val="clear" w:color="auto" w:fill="auto"/>
            <w:vAlign w:val="top"/>
          </w:tcPr>
          <w:p>
            <w:pPr>
              <w:pStyle w:val="178"/>
              <w:ind w:firstLine="0" w:firstLineChars="0"/>
              <w:rPr>
                <w:rFonts w:hint="eastAsia" w:ascii="宋体" w:hAnsi="Times New Roman" w:eastAsia="宋体" w:cs="Times New Roman"/>
                <w:sz w:val="18"/>
                <w:lang w:val="en-US" w:eastAsia="zh-CN" w:bidi="ar-SA"/>
              </w:rPr>
            </w:pPr>
            <w:r>
              <w:rPr>
                <w:rFonts w:hint="eastAsia" w:ascii="Times New Roman"/>
                <w:kern w:val="2"/>
                <w:szCs w:val="24"/>
              </w:rPr>
              <w:t>悬浮剂</w:t>
            </w:r>
          </w:p>
        </w:tc>
        <w:tc>
          <w:tcPr>
            <w:tcW w:w="1985" w:type="dxa"/>
            <w:shd w:val="clear" w:color="auto" w:fill="auto"/>
            <w:vAlign w:val="top"/>
          </w:tcPr>
          <w:p>
            <w:pPr>
              <w:pStyle w:val="178"/>
              <w:ind w:firstLine="0" w:firstLineChars="0"/>
              <w:rPr>
                <w:rFonts w:hint="eastAsia" w:ascii="宋体" w:hAnsi="Times New Roman" w:eastAsia="宋体" w:cs="Times New Roman"/>
                <w:sz w:val="18"/>
                <w:lang w:val="en-US" w:eastAsia="zh-CN" w:bidi="ar-SA"/>
              </w:rPr>
            </w:pPr>
            <w:r>
              <w:rPr>
                <w:rFonts w:hint="eastAsia" w:ascii="Times New Roman"/>
                <w:kern w:val="2"/>
                <w:szCs w:val="24"/>
              </w:rPr>
              <w:t>25~75mL/</w:t>
            </w:r>
            <w:r>
              <w:rPr>
                <w:rFonts w:hint="eastAsia" w:ascii="Times New Roman"/>
              </w:rPr>
              <w:t>667m</w:t>
            </w:r>
            <w:r>
              <w:rPr>
                <w:rFonts w:hint="eastAsia" w:ascii="Times New Roman"/>
                <w:vertAlign w:val="superscript"/>
              </w:rPr>
              <w:t>2</w:t>
            </w:r>
            <w:r>
              <w:rPr>
                <w:rFonts w:hint="eastAsia" w:ascii="Times New Roman"/>
                <w:kern w:val="2"/>
                <w:szCs w:val="24"/>
              </w:rPr>
              <w:t>，喷雾</w:t>
            </w:r>
          </w:p>
        </w:tc>
        <w:tc>
          <w:tcPr>
            <w:tcW w:w="1276" w:type="dxa"/>
            <w:shd w:val="clear" w:color="auto" w:fill="auto"/>
            <w:vAlign w:val="top"/>
          </w:tcPr>
          <w:p>
            <w:pPr>
              <w:pStyle w:val="178"/>
              <w:ind w:firstLine="0" w:firstLineChars="0"/>
              <w:rPr>
                <w:rFonts w:hint="eastAsia" w:ascii="宋体" w:hAnsi="Times New Roman" w:eastAsia="宋体" w:cs="Times New Roman"/>
                <w:sz w:val="18"/>
                <w:lang w:val="en-US" w:eastAsia="zh-CN" w:bidi="ar-SA"/>
              </w:rPr>
            </w:pPr>
            <w:r>
              <w:rPr>
                <w:rFonts w:hint="eastAsia" w:ascii="Times New Roman"/>
                <w:kern w:val="2"/>
                <w:szCs w:val="24"/>
              </w:rPr>
              <w:t>—</w:t>
            </w:r>
          </w:p>
        </w:tc>
        <w:tc>
          <w:tcPr>
            <w:tcW w:w="1547" w:type="dxa"/>
            <w:shd w:val="clear" w:color="auto" w:fill="auto"/>
            <w:vAlign w:val="top"/>
          </w:tcPr>
          <w:p>
            <w:pPr>
              <w:pStyle w:val="178"/>
              <w:ind w:firstLine="0" w:firstLineChars="0"/>
              <w:rPr>
                <w:rFonts w:hint="eastAsia" w:ascii="宋体" w:hAnsi="Times New Roman" w:eastAsia="宋体" w:cs="Times New Roman"/>
                <w:sz w:val="18"/>
                <w:lang w:val="en-US" w:eastAsia="zh-CN" w:bidi="ar-SA"/>
              </w:rPr>
            </w:pPr>
            <w:r>
              <w:rPr>
                <w:rFonts w:hint="eastAsia" w:ascii="Times New Roman"/>
                <w:kern w:val="2"/>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tcPr>
          <w:p>
            <w:pPr>
              <w:pStyle w:val="178"/>
              <w:rPr>
                <w:rFonts w:hint="eastAsia" w:ascii="Times New Roman" w:eastAsia="宋体"/>
                <w:kern w:val="2"/>
                <w:szCs w:val="24"/>
                <w:lang w:val="en-US" w:eastAsia="zh-CN"/>
              </w:rPr>
            </w:pPr>
            <w:r>
              <w:rPr>
                <w:rFonts w:hint="eastAsia" w:ascii="Times New Roman"/>
                <w:kern w:val="2"/>
                <w:szCs w:val="24"/>
                <w:lang w:val="en-US" w:eastAsia="zh-CN"/>
              </w:rPr>
              <w:t>8</w:t>
            </w:r>
          </w:p>
        </w:tc>
        <w:tc>
          <w:tcPr>
            <w:tcW w:w="1276" w:type="dxa"/>
            <w:shd w:val="clear" w:color="auto" w:fill="auto"/>
          </w:tcPr>
          <w:p>
            <w:pPr>
              <w:pStyle w:val="178"/>
              <w:rPr>
                <w:rFonts w:hint="eastAsia" w:ascii="Times New Roman" w:eastAsia="宋体"/>
                <w:kern w:val="2"/>
                <w:szCs w:val="24"/>
                <w:lang w:eastAsia="zh-CN"/>
              </w:rPr>
            </w:pPr>
            <w:r>
              <w:rPr>
                <w:rFonts w:ascii="Times New Roman"/>
                <w:kern w:val="2"/>
                <w:szCs w:val="24"/>
              </w:rPr>
              <w:t>斜纹夜蛾</w:t>
            </w:r>
          </w:p>
        </w:tc>
        <w:tc>
          <w:tcPr>
            <w:tcW w:w="1559" w:type="dxa"/>
            <w:shd w:val="clear" w:color="auto" w:fill="auto"/>
          </w:tcPr>
          <w:p>
            <w:pPr>
              <w:pStyle w:val="178"/>
              <w:rPr>
                <w:rFonts w:hint="default" w:ascii="Times New Roman"/>
                <w:kern w:val="2"/>
                <w:szCs w:val="24"/>
                <w:lang w:val="en-US"/>
              </w:rPr>
            </w:pPr>
            <w:r>
              <w:rPr>
                <w:rFonts w:hint="eastAsia" w:ascii="Times New Roman"/>
                <w:kern w:val="2"/>
                <w:szCs w:val="24"/>
                <w:lang w:eastAsia="zh-CN"/>
              </w:rPr>
              <w:t>苏云金杆菌</w:t>
            </w:r>
            <w:r>
              <w:rPr>
                <w:rFonts w:hint="eastAsia" w:ascii="Times New Roman"/>
                <w:kern w:val="2"/>
                <w:szCs w:val="24"/>
                <w:lang w:val="en-US" w:eastAsia="zh-CN"/>
              </w:rPr>
              <w:t>16000单位/mg</w:t>
            </w:r>
          </w:p>
        </w:tc>
        <w:tc>
          <w:tcPr>
            <w:tcW w:w="1134" w:type="dxa"/>
            <w:shd w:val="clear" w:color="auto" w:fill="auto"/>
          </w:tcPr>
          <w:p>
            <w:pPr>
              <w:pStyle w:val="178"/>
              <w:rPr>
                <w:rFonts w:hint="eastAsia" w:ascii="Times New Roman"/>
                <w:kern w:val="2"/>
                <w:szCs w:val="24"/>
              </w:rPr>
            </w:pPr>
            <w:r>
              <w:rPr>
                <w:rFonts w:hint="eastAsia" w:ascii="Times New Roman"/>
                <w:kern w:val="2"/>
                <w:szCs w:val="24"/>
              </w:rPr>
              <w:t>可湿性粉剂</w:t>
            </w:r>
          </w:p>
        </w:tc>
        <w:tc>
          <w:tcPr>
            <w:tcW w:w="1985" w:type="dxa"/>
            <w:shd w:val="clear" w:color="auto" w:fill="auto"/>
            <w:vAlign w:val="top"/>
          </w:tcPr>
          <w:p>
            <w:pPr>
              <w:pStyle w:val="178"/>
              <w:ind w:firstLine="0" w:firstLineChars="0"/>
              <w:rPr>
                <w:rFonts w:hint="eastAsia" w:ascii="宋体" w:hAnsi="Times New Roman" w:eastAsia="宋体" w:cs="Times New Roman"/>
                <w:sz w:val="18"/>
                <w:lang w:val="en-US" w:eastAsia="zh-CN" w:bidi="ar-SA"/>
              </w:rPr>
            </w:pPr>
            <w:r>
              <w:rPr>
                <w:rFonts w:hint="eastAsia" w:ascii="Times New Roman"/>
                <w:kern w:val="2"/>
                <w:szCs w:val="24"/>
              </w:rPr>
              <w:t>1</w:t>
            </w:r>
            <w:r>
              <w:rPr>
                <w:rFonts w:hint="eastAsia" w:ascii="Times New Roman"/>
                <w:kern w:val="2"/>
                <w:szCs w:val="24"/>
                <w:lang w:val="en-US" w:eastAsia="zh-CN"/>
              </w:rPr>
              <w:t>50</w:t>
            </w:r>
            <w:r>
              <w:rPr>
                <w:rFonts w:hint="eastAsia" w:ascii="Times New Roman"/>
                <w:kern w:val="2"/>
                <w:szCs w:val="24"/>
              </w:rPr>
              <w:t>~2</w:t>
            </w:r>
            <w:r>
              <w:rPr>
                <w:rFonts w:hint="eastAsia" w:ascii="Times New Roman"/>
                <w:kern w:val="2"/>
                <w:szCs w:val="24"/>
                <w:lang w:val="en-US" w:eastAsia="zh-CN"/>
              </w:rPr>
              <w:t>0</w:t>
            </w:r>
            <w:r>
              <w:rPr>
                <w:rFonts w:hint="eastAsia" w:ascii="Times New Roman"/>
                <w:kern w:val="2"/>
                <w:szCs w:val="24"/>
              </w:rPr>
              <w:t>0g/</w:t>
            </w:r>
            <w:r>
              <w:rPr>
                <w:rFonts w:hint="eastAsia" w:ascii="Times New Roman"/>
              </w:rPr>
              <w:t>667m</w:t>
            </w:r>
            <w:r>
              <w:rPr>
                <w:rFonts w:hint="eastAsia" w:ascii="Times New Roman"/>
                <w:vertAlign w:val="superscript"/>
              </w:rPr>
              <w:t>2</w:t>
            </w:r>
            <w:r>
              <w:rPr>
                <w:rFonts w:hint="eastAsia" w:ascii="Times New Roman"/>
                <w:kern w:val="2"/>
                <w:szCs w:val="24"/>
              </w:rPr>
              <w:t>，喷雾</w:t>
            </w:r>
          </w:p>
        </w:tc>
        <w:tc>
          <w:tcPr>
            <w:tcW w:w="1276" w:type="dxa"/>
            <w:shd w:val="clear" w:color="auto" w:fill="auto"/>
            <w:vAlign w:val="top"/>
          </w:tcPr>
          <w:p>
            <w:pPr>
              <w:pStyle w:val="178"/>
              <w:ind w:firstLine="0" w:firstLineChars="0"/>
              <w:rPr>
                <w:rFonts w:hint="eastAsia" w:ascii="宋体" w:hAnsi="Times New Roman" w:eastAsia="宋体" w:cs="Times New Roman"/>
                <w:sz w:val="18"/>
                <w:lang w:val="en-US" w:eastAsia="zh-CN" w:bidi="ar-SA"/>
              </w:rPr>
            </w:pPr>
            <w:r>
              <w:rPr>
                <w:rFonts w:hint="eastAsia" w:ascii="Times New Roman"/>
                <w:kern w:val="2"/>
                <w:szCs w:val="24"/>
              </w:rPr>
              <w:t>—</w:t>
            </w:r>
          </w:p>
        </w:tc>
        <w:tc>
          <w:tcPr>
            <w:tcW w:w="1547" w:type="dxa"/>
            <w:shd w:val="clear" w:color="auto" w:fill="auto"/>
            <w:vAlign w:val="top"/>
          </w:tcPr>
          <w:p>
            <w:pPr>
              <w:pStyle w:val="178"/>
              <w:ind w:firstLine="0" w:firstLineChars="0"/>
              <w:rPr>
                <w:rFonts w:hint="eastAsia" w:ascii="宋体" w:hAnsi="Times New Roman" w:eastAsia="宋体" w:cs="Times New Roman"/>
                <w:sz w:val="18"/>
                <w:lang w:val="en-US" w:eastAsia="zh-CN" w:bidi="ar-SA"/>
              </w:rPr>
            </w:pPr>
            <w:r>
              <w:rPr>
                <w:rFonts w:hint="eastAsia" w:ascii="Times New Roman"/>
                <w:kern w:val="2"/>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top"/>
          </w:tcPr>
          <w:p>
            <w:pPr>
              <w:pStyle w:val="178"/>
              <w:ind w:firstLine="0" w:firstLineChars="0"/>
              <w:rPr>
                <w:rFonts w:hint="default" w:ascii="宋体" w:hAnsi="Times New Roman" w:eastAsia="宋体" w:cs="Times New Roman"/>
                <w:sz w:val="18"/>
                <w:lang w:val="en-US" w:eastAsia="zh-CN" w:bidi="ar-SA"/>
              </w:rPr>
            </w:pPr>
            <w:r>
              <w:rPr>
                <w:rFonts w:hint="eastAsia" w:cs="Times New Roman"/>
                <w:sz w:val="18"/>
                <w:lang w:val="en-US" w:eastAsia="zh-CN" w:bidi="ar-SA"/>
              </w:rPr>
              <w:t>9</w:t>
            </w:r>
          </w:p>
        </w:tc>
        <w:tc>
          <w:tcPr>
            <w:tcW w:w="1276" w:type="dxa"/>
            <w:shd w:val="clear" w:color="auto" w:fill="auto"/>
            <w:vAlign w:val="top"/>
          </w:tcPr>
          <w:p>
            <w:pPr>
              <w:pStyle w:val="178"/>
              <w:ind w:firstLine="0" w:firstLineChars="0"/>
              <w:rPr>
                <w:rFonts w:ascii="宋体" w:hAnsi="Times New Roman" w:eastAsia="宋体" w:cs="Times New Roman"/>
                <w:sz w:val="18"/>
                <w:lang w:val="en-US" w:eastAsia="zh-CN" w:bidi="ar-SA"/>
              </w:rPr>
            </w:pPr>
            <w:r>
              <w:rPr>
                <w:rFonts w:ascii="Times New Roman"/>
                <w:kern w:val="2"/>
                <w:szCs w:val="24"/>
              </w:rPr>
              <w:t>稗、水莎草、千金子和牛毛毡</w:t>
            </w:r>
          </w:p>
        </w:tc>
        <w:tc>
          <w:tcPr>
            <w:tcW w:w="1559" w:type="dxa"/>
            <w:shd w:val="clear" w:color="auto" w:fill="auto"/>
            <w:vAlign w:val="top"/>
          </w:tcPr>
          <w:p>
            <w:pPr>
              <w:pStyle w:val="178"/>
              <w:ind w:firstLine="0" w:firstLineChars="0"/>
              <w:rPr>
                <w:rFonts w:hint="eastAsia" w:ascii="宋体" w:hAnsi="Times New Roman" w:eastAsia="宋体" w:cs="Times New Roman"/>
                <w:sz w:val="18"/>
                <w:lang w:val="en-US" w:eastAsia="zh-CN" w:bidi="ar-SA"/>
              </w:rPr>
            </w:pPr>
            <w:r>
              <w:rPr>
                <w:rFonts w:hint="eastAsia" w:ascii="Times New Roman"/>
                <w:kern w:val="2"/>
                <w:szCs w:val="24"/>
              </w:rPr>
              <w:t>10%异*异丙*扑剂</w:t>
            </w:r>
          </w:p>
        </w:tc>
        <w:tc>
          <w:tcPr>
            <w:tcW w:w="1134" w:type="dxa"/>
            <w:shd w:val="clear" w:color="auto" w:fill="auto"/>
            <w:vAlign w:val="top"/>
          </w:tcPr>
          <w:p>
            <w:pPr>
              <w:pStyle w:val="178"/>
              <w:ind w:firstLine="0" w:firstLineChars="0"/>
              <w:rPr>
                <w:rFonts w:hint="eastAsia" w:ascii="宋体" w:hAnsi="Times New Roman" w:eastAsia="宋体" w:cs="Times New Roman"/>
                <w:sz w:val="18"/>
                <w:lang w:val="en-US" w:eastAsia="zh-CN" w:bidi="ar-SA"/>
              </w:rPr>
            </w:pPr>
            <w:r>
              <w:rPr>
                <w:rFonts w:hint="eastAsia" w:ascii="Times New Roman"/>
                <w:kern w:val="2"/>
                <w:szCs w:val="24"/>
              </w:rPr>
              <w:t>颗粒剂</w:t>
            </w:r>
          </w:p>
        </w:tc>
        <w:tc>
          <w:tcPr>
            <w:tcW w:w="1985" w:type="dxa"/>
            <w:shd w:val="clear" w:color="auto" w:fill="auto"/>
            <w:vAlign w:val="top"/>
          </w:tcPr>
          <w:p>
            <w:pPr>
              <w:pStyle w:val="178"/>
              <w:ind w:firstLine="0" w:firstLineChars="0"/>
              <w:rPr>
                <w:rFonts w:hint="eastAsia" w:ascii="宋体" w:hAnsi="Times New Roman" w:eastAsia="宋体" w:cs="Times New Roman"/>
                <w:sz w:val="18"/>
                <w:lang w:val="en-US" w:eastAsia="zh-CN" w:bidi="ar-SA"/>
              </w:rPr>
            </w:pPr>
            <w:r>
              <w:rPr>
                <w:rFonts w:hint="eastAsia" w:ascii="Times New Roman"/>
                <w:kern w:val="2"/>
                <w:szCs w:val="24"/>
              </w:rPr>
              <w:t>300~400g/</w:t>
            </w:r>
            <w:r>
              <w:rPr>
                <w:rFonts w:hint="eastAsia" w:ascii="Times New Roman"/>
              </w:rPr>
              <w:t>667m</w:t>
            </w:r>
            <w:r>
              <w:rPr>
                <w:rFonts w:hint="eastAsia" w:ascii="Times New Roman"/>
                <w:vertAlign w:val="superscript"/>
              </w:rPr>
              <w:t>2</w:t>
            </w:r>
            <w:r>
              <w:rPr>
                <w:rFonts w:hint="eastAsia" w:ascii="Times New Roman"/>
                <w:kern w:val="2"/>
                <w:szCs w:val="24"/>
              </w:rPr>
              <w:t>，撒施</w:t>
            </w:r>
          </w:p>
        </w:tc>
        <w:tc>
          <w:tcPr>
            <w:tcW w:w="1276" w:type="dxa"/>
            <w:shd w:val="clear" w:color="auto" w:fill="auto"/>
            <w:vAlign w:val="top"/>
          </w:tcPr>
          <w:p>
            <w:pPr>
              <w:pStyle w:val="178"/>
              <w:ind w:firstLine="0" w:firstLineChars="0"/>
              <w:rPr>
                <w:rFonts w:hint="eastAsia" w:ascii="宋体" w:hAnsi="Times New Roman" w:eastAsia="宋体" w:cs="Times New Roman"/>
                <w:sz w:val="18"/>
                <w:lang w:val="en-US" w:eastAsia="zh-CN" w:bidi="ar-SA"/>
              </w:rPr>
            </w:pPr>
            <w:r>
              <w:rPr>
                <w:rFonts w:hint="eastAsia" w:ascii="Times New Roman"/>
                <w:kern w:val="2"/>
                <w:szCs w:val="24"/>
              </w:rPr>
              <w:t>—</w:t>
            </w:r>
          </w:p>
        </w:tc>
        <w:tc>
          <w:tcPr>
            <w:tcW w:w="1547" w:type="dxa"/>
            <w:shd w:val="clear" w:color="auto" w:fill="auto"/>
            <w:vAlign w:val="top"/>
          </w:tcPr>
          <w:p>
            <w:pPr>
              <w:pStyle w:val="178"/>
              <w:ind w:firstLine="0" w:firstLineChars="0"/>
              <w:rPr>
                <w:rFonts w:hint="eastAsia" w:ascii="宋体" w:hAnsi="Times New Roman" w:eastAsia="宋体" w:cs="Times New Roman"/>
                <w:sz w:val="18"/>
                <w:lang w:val="en-US" w:eastAsia="zh-CN" w:bidi="ar-SA"/>
              </w:rPr>
            </w:pPr>
            <w:r>
              <w:rPr>
                <w:rFonts w:hint="eastAsia" w:ascii="Times New Roman"/>
                <w:kern w:val="2"/>
                <w:szCs w:val="24"/>
              </w:rPr>
              <w:t>1</w:t>
            </w:r>
          </w:p>
        </w:tc>
      </w:tr>
    </w:tbl>
    <w:p>
      <w:pPr>
        <w:pStyle w:val="56"/>
        <w:ind w:firstLine="420"/>
      </w:pPr>
    </w:p>
    <w:p>
      <w:pPr>
        <w:pStyle w:val="56"/>
        <w:ind w:firstLine="420"/>
      </w:pPr>
    </w:p>
    <w:p>
      <w:pPr>
        <w:pStyle w:val="56"/>
        <w:ind w:firstLine="420"/>
      </w:pPr>
    </w:p>
    <w:p>
      <w:pPr>
        <w:pStyle w:val="56"/>
        <w:ind w:firstLine="420"/>
      </w:pPr>
    </w:p>
    <w:p>
      <w:pPr>
        <w:pStyle w:val="56"/>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bookmarkStart w:id="77" w:name="_Toc180752675"/>
    </w:p>
    <w:p>
      <w:pPr>
        <w:pStyle w:val="76"/>
        <w:numPr>
          <w:ilvl w:val="0"/>
          <w:numId w:val="0"/>
        </w:numPr>
        <w:spacing w:after="156"/>
        <w:ind w:leftChars="0"/>
        <w:jc w:val="center"/>
        <w:rPr>
          <w:rFonts w:hint="eastAsia"/>
        </w:rPr>
      </w:pPr>
      <w:r>
        <w:rPr>
          <w:rFonts w:hint="eastAsia"/>
        </w:rPr>
        <w:t>（规范性）</w:t>
      </w:r>
    </w:p>
    <w:p>
      <w:pPr>
        <w:pStyle w:val="56"/>
        <w:ind w:left="0" w:leftChars="0" w:firstLine="0" w:firstLineChars="0"/>
        <w:jc w:val="center"/>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生产档案</w:t>
      </w:r>
    </w:p>
    <w:bookmarkEnd w:id="77"/>
    <w:p>
      <w:pPr>
        <w:pStyle w:val="56"/>
        <w:ind w:firstLine="420"/>
      </w:pPr>
      <w:r>
        <w:rPr>
          <w:rFonts w:hint="eastAsia"/>
        </w:rPr>
        <w:t>表B.1给出了生产档案记录明细。</w:t>
      </w:r>
    </w:p>
    <w:p>
      <w:pPr>
        <w:pStyle w:val="77"/>
        <w:spacing w:before="156" w:after="156"/>
        <w:rPr>
          <w:rFonts w:hint="eastAsia"/>
        </w:rPr>
      </w:pPr>
      <w:r>
        <w:rPr>
          <w:rFonts w:hint="eastAsia"/>
        </w:rPr>
        <w:t>生产档案表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6" w:type="dxa"/>
            <w:tcBorders>
              <w:top w:val="single" w:color="auto" w:sz="8" w:space="0"/>
              <w:bottom w:val="single" w:color="auto" w:sz="8" w:space="0"/>
            </w:tcBorders>
            <w:shd w:val="clear" w:color="auto" w:fill="auto"/>
            <w:vAlign w:val="center"/>
          </w:tcPr>
          <w:p>
            <w:pPr>
              <w:pStyle w:val="178"/>
            </w:pPr>
            <w:r>
              <w:rPr>
                <w:rFonts w:ascii="Times New Roman"/>
                <w:szCs w:val="18"/>
              </w:rPr>
              <w:t>时间</w:t>
            </w:r>
          </w:p>
        </w:tc>
        <w:tc>
          <w:tcPr>
            <w:tcW w:w="1556" w:type="dxa"/>
            <w:tcBorders>
              <w:top w:val="single" w:color="auto" w:sz="8" w:space="0"/>
              <w:bottom w:val="single" w:color="auto" w:sz="8" w:space="0"/>
            </w:tcBorders>
            <w:shd w:val="clear" w:color="auto" w:fill="auto"/>
            <w:vAlign w:val="center"/>
          </w:tcPr>
          <w:p>
            <w:pPr>
              <w:pStyle w:val="178"/>
            </w:pPr>
            <w:r>
              <w:rPr>
                <w:rFonts w:ascii="Times New Roman"/>
                <w:szCs w:val="18"/>
              </w:rPr>
              <w:t>管理措施</w:t>
            </w:r>
          </w:p>
        </w:tc>
        <w:tc>
          <w:tcPr>
            <w:tcW w:w="1555" w:type="dxa"/>
            <w:tcBorders>
              <w:top w:val="single" w:color="auto" w:sz="8" w:space="0"/>
              <w:bottom w:val="single" w:color="auto" w:sz="8" w:space="0"/>
            </w:tcBorders>
            <w:shd w:val="clear" w:color="auto" w:fill="auto"/>
            <w:vAlign w:val="center"/>
          </w:tcPr>
          <w:p>
            <w:pPr>
              <w:pStyle w:val="178"/>
            </w:pPr>
            <w:r>
              <w:rPr>
                <w:rFonts w:ascii="Times New Roman"/>
                <w:szCs w:val="18"/>
              </w:rPr>
              <w:t>浇水量</w:t>
            </w:r>
          </w:p>
        </w:tc>
        <w:tc>
          <w:tcPr>
            <w:tcW w:w="1555" w:type="dxa"/>
            <w:tcBorders>
              <w:top w:val="single" w:color="auto" w:sz="8" w:space="0"/>
              <w:bottom w:val="single" w:color="auto" w:sz="8" w:space="0"/>
            </w:tcBorders>
            <w:shd w:val="clear" w:color="auto" w:fill="auto"/>
            <w:vAlign w:val="center"/>
          </w:tcPr>
          <w:p>
            <w:pPr>
              <w:pStyle w:val="178"/>
            </w:pPr>
            <w:r>
              <w:rPr>
                <w:rFonts w:ascii="Times New Roman"/>
                <w:szCs w:val="18"/>
              </w:rPr>
              <w:t>施肥量</w:t>
            </w:r>
          </w:p>
        </w:tc>
        <w:tc>
          <w:tcPr>
            <w:tcW w:w="1556" w:type="dxa"/>
            <w:tcBorders>
              <w:top w:val="single" w:color="auto" w:sz="8" w:space="0"/>
              <w:bottom w:val="single" w:color="auto" w:sz="8" w:space="0"/>
            </w:tcBorders>
            <w:shd w:val="clear" w:color="auto" w:fill="auto"/>
            <w:vAlign w:val="center"/>
          </w:tcPr>
          <w:p>
            <w:pPr>
              <w:pStyle w:val="178"/>
            </w:pPr>
            <w:r>
              <w:rPr>
                <w:rFonts w:ascii="Times New Roman"/>
                <w:szCs w:val="18"/>
              </w:rPr>
              <w:t>用药量</w:t>
            </w:r>
          </w:p>
        </w:tc>
        <w:tc>
          <w:tcPr>
            <w:tcW w:w="1556" w:type="dxa"/>
            <w:tcBorders>
              <w:top w:val="single" w:color="auto" w:sz="8" w:space="0"/>
              <w:bottom w:val="single" w:color="auto" w:sz="8" w:space="0"/>
            </w:tcBorders>
            <w:shd w:val="clear" w:color="auto" w:fill="auto"/>
            <w:vAlign w:val="center"/>
          </w:tcPr>
          <w:p>
            <w:pPr>
              <w:pStyle w:val="178"/>
            </w:pPr>
            <w:r>
              <w:rPr>
                <w:rFonts w:ascii="Times New Roman"/>
                <w:szCs w:val="18"/>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tcBorders>
            <w:shd w:val="clear" w:color="auto" w:fill="auto"/>
            <w:vAlign w:val="center"/>
          </w:tcPr>
          <w:p>
            <w:pPr>
              <w:pStyle w:val="178"/>
            </w:pPr>
          </w:p>
        </w:tc>
        <w:tc>
          <w:tcPr>
            <w:tcW w:w="1556" w:type="dxa"/>
            <w:tcBorders>
              <w:top w:val="single" w:color="auto" w:sz="8" w:space="0"/>
            </w:tcBorders>
            <w:shd w:val="clear" w:color="auto" w:fill="auto"/>
            <w:vAlign w:val="center"/>
          </w:tcPr>
          <w:p>
            <w:pPr>
              <w:pStyle w:val="178"/>
            </w:pPr>
          </w:p>
        </w:tc>
        <w:tc>
          <w:tcPr>
            <w:tcW w:w="1555" w:type="dxa"/>
            <w:tcBorders>
              <w:top w:val="single" w:color="auto" w:sz="8" w:space="0"/>
            </w:tcBorders>
            <w:shd w:val="clear" w:color="auto" w:fill="auto"/>
            <w:vAlign w:val="center"/>
          </w:tcPr>
          <w:p>
            <w:pPr>
              <w:pStyle w:val="178"/>
            </w:pPr>
          </w:p>
        </w:tc>
        <w:tc>
          <w:tcPr>
            <w:tcW w:w="1555" w:type="dxa"/>
            <w:tcBorders>
              <w:top w:val="single" w:color="auto" w:sz="8" w:space="0"/>
            </w:tcBorders>
            <w:shd w:val="clear" w:color="auto" w:fill="auto"/>
            <w:vAlign w:val="center"/>
          </w:tcPr>
          <w:p>
            <w:pPr>
              <w:pStyle w:val="178"/>
            </w:pPr>
          </w:p>
        </w:tc>
        <w:tc>
          <w:tcPr>
            <w:tcW w:w="1556" w:type="dxa"/>
            <w:tcBorders>
              <w:top w:val="single" w:color="auto" w:sz="8" w:space="0"/>
            </w:tcBorders>
            <w:shd w:val="clear" w:color="auto" w:fill="auto"/>
            <w:vAlign w:val="center"/>
          </w:tcPr>
          <w:p>
            <w:pPr>
              <w:pStyle w:val="178"/>
            </w:pPr>
          </w:p>
        </w:tc>
        <w:tc>
          <w:tcPr>
            <w:tcW w:w="1556" w:type="dxa"/>
            <w:tcBorders>
              <w:top w:val="single" w:color="auto" w:sz="8"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pPr>
              <w:pStyle w:val="178"/>
            </w:pPr>
          </w:p>
        </w:tc>
        <w:tc>
          <w:tcPr>
            <w:tcW w:w="1556" w:type="dxa"/>
            <w:shd w:val="clear" w:color="auto" w:fill="auto"/>
            <w:vAlign w:val="center"/>
          </w:tcPr>
          <w:p>
            <w:pPr>
              <w:pStyle w:val="178"/>
            </w:pPr>
          </w:p>
        </w:tc>
        <w:tc>
          <w:tcPr>
            <w:tcW w:w="1555" w:type="dxa"/>
            <w:shd w:val="clear" w:color="auto" w:fill="auto"/>
            <w:vAlign w:val="center"/>
          </w:tcPr>
          <w:p>
            <w:pPr>
              <w:pStyle w:val="178"/>
            </w:pPr>
          </w:p>
        </w:tc>
        <w:tc>
          <w:tcPr>
            <w:tcW w:w="1555" w:type="dxa"/>
            <w:shd w:val="clear" w:color="auto" w:fill="auto"/>
            <w:vAlign w:val="center"/>
          </w:tcPr>
          <w:p>
            <w:pPr>
              <w:pStyle w:val="178"/>
            </w:pPr>
          </w:p>
        </w:tc>
        <w:tc>
          <w:tcPr>
            <w:tcW w:w="1556" w:type="dxa"/>
            <w:shd w:val="clear" w:color="auto" w:fill="auto"/>
            <w:vAlign w:val="center"/>
          </w:tcPr>
          <w:p>
            <w:pPr>
              <w:pStyle w:val="178"/>
            </w:pPr>
          </w:p>
        </w:tc>
        <w:tc>
          <w:tcPr>
            <w:tcW w:w="155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556" w:type="dxa"/>
            <w:shd w:val="clear" w:color="auto" w:fill="auto"/>
            <w:vAlign w:val="center"/>
          </w:tcPr>
          <w:p>
            <w:pPr>
              <w:pStyle w:val="178"/>
            </w:pPr>
          </w:p>
        </w:tc>
        <w:tc>
          <w:tcPr>
            <w:tcW w:w="1556" w:type="dxa"/>
            <w:shd w:val="clear" w:color="auto" w:fill="auto"/>
            <w:vAlign w:val="center"/>
          </w:tcPr>
          <w:p>
            <w:pPr>
              <w:pStyle w:val="178"/>
            </w:pPr>
          </w:p>
        </w:tc>
        <w:tc>
          <w:tcPr>
            <w:tcW w:w="1555" w:type="dxa"/>
            <w:shd w:val="clear" w:color="auto" w:fill="auto"/>
            <w:vAlign w:val="center"/>
          </w:tcPr>
          <w:p>
            <w:pPr>
              <w:pStyle w:val="178"/>
            </w:pPr>
          </w:p>
        </w:tc>
        <w:tc>
          <w:tcPr>
            <w:tcW w:w="1555" w:type="dxa"/>
            <w:shd w:val="clear" w:color="auto" w:fill="auto"/>
            <w:vAlign w:val="center"/>
          </w:tcPr>
          <w:p>
            <w:pPr>
              <w:pStyle w:val="178"/>
            </w:pPr>
          </w:p>
        </w:tc>
        <w:tc>
          <w:tcPr>
            <w:tcW w:w="1556" w:type="dxa"/>
            <w:shd w:val="clear" w:color="auto" w:fill="auto"/>
            <w:vAlign w:val="center"/>
          </w:tcPr>
          <w:p>
            <w:pPr>
              <w:pStyle w:val="178"/>
            </w:pPr>
          </w:p>
        </w:tc>
        <w:tc>
          <w:tcPr>
            <w:tcW w:w="155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pPr>
              <w:pStyle w:val="178"/>
            </w:pPr>
          </w:p>
        </w:tc>
        <w:tc>
          <w:tcPr>
            <w:tcW w:w="1556" w:type="dxa"/>
            <w:shd w:val="clear" w:color="auto" w:fill="auto"/>
            <w:vAlign w:val="center"/>
          </w:tcPr>
          <w:p>
            <w:pPr>
              <w:pStyle w:val="178"/>
            </w:pPr>
          </w:p>
        </w:tc>
        <w:tc>
          <w:tcPr>
            <w:tcW w:w="1555" w:type="dxa"/>
            <w:shd w:val="clear" w:color="auto" w:fill="auto"/>
            <w:vAlign w:val="center"/>
          </w:tcPr>
          <w:p>
            <w:pPr>
              <w:pStyle w:val="178"/>
            </w:pPr>
          </w:p>
        </w:tc>
        <w:tc>
          <w:tcPr>
            <w:tcW w:w="1555" w:type="dxa"/>
            <w:shd w:val="clear" w:color="auto" w:fill="auto"/>
            <w:vAlign w:val="center"/>
          </w:tcPr>
          <w:p>
            <w:pPr>
              <w:pStyle w:val="178"/>
            </w:pPr>
          </w:p>
        </w:tc>
        <w:tc>
          <w:tcPr>
            <w:tcW w:w="1556" w:type="dxa"/>
            <w:shd w:val="clear" w:color="auto" w:fill="auto"/>
            <w:vAlign w:val="center"/>
          </w:tcPr>
          <w:p>
            <w:pPr>
              <w:pStyle w:val="178"/>
            </w:pPr>
          </w:p>
        </w:tc>
        <w:tc>
          <w:tcPr>
            <w:tcW w:w="155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pPr>
              <w:pStyle w:val="178"/>
            </w:pPr>
          </w:p>
        </w:tc>
        <w:tc>
          <w:tcPr>
            <w:tcW w:w="1556" w:type="dxa"/>
            <w:shd w:val="clear" w:color="auto" w:fill="auto"/>
            <w:vAlign w:val="center"/>
          </w:tcPr>
          <w:p>
            <w:pPr>
              <w:pStyle w:val="178"/>
            </w:pPr>
          </w:p>
        </w:tc>
        <w:tc>
          <w:tcPr>
            <w:tcW w:w="1555" w:type="dxa"/>
            <w:shd w:val="clear" w:color="auto" w:fill="auto"/>
            <w:vAlign w:val="center"/>
          </w:tcPr>
          <w:p>
            <w:pPr>
              <w:pStyle w:val="178"/>
            </w:pPr>
          </w:p>
        </w:tc>
        <w:tc>
          <w:tcPr>
            <w:tcW w:w="1555" w:type="dxa"/>
            <w:shd w:val="clear" w:color="auto" w:fill="auto"/>
            <w:vAlign w:val="center"/>
          </w:tcPr>
          <w:p>
            <w:pPr>
              <w:pStyle w:val="178"/>
            </w:pPr>
          </w:p>
        </w:tc>
        <w:tc>
          <w:tcPr>
            <w:tcW w:w="1556" w:type="dxa"/>
            <w:shd w:val="clear" w:color="auto" w:fill="auto"/>
            <w:vAlign w:val="center"/>
          </w:tcPr>
          <w:p>
            <w:pPr>
              <w:pStyle w:val="178"/>
            </w:pPr>
          </w:p>
        </w:tc>
        <w:tc>
          <w:tcPr>
            <w:tcW w:w="1556"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pPr>
              <w:pStyle w:val="178"/>
            </w:pPr>
          </w:p>
        </w:tc>
        <w:tc>
          <w:tcPr>
            <w:tcW w:w="1556" w:type="dxa"/>
            <w:shd w:val="clear" w:color="auto" w:fill="auto"/>
            <w:vAlign w:val="center"/>
          </w:tcPr>
          <w:p>
            <w:pPr>
              <w:pStyle w:val="178"/>
            </w:pPr>
          </w:p>
        </w:tc>
        <w:tc>
          <w:tcPr>
            <w:tcW w:w="1555" w:type="dxa"/>
            <w:shd w:val="clear" w:color="auto" w:fill="auto"/>
            <w:vAlign w:val="center"/>
          </w:tcPr>
          <w:p>
            <w:pPr>
              <w:pStyle w:val="178"/>
            </w:pPr>
          </w:p>
        </w:tc>
        <w:tc>
          <w:tcPr>
            <w:tcW w:w="1555" w:type="dxa"/>
            <w:shd w:val="clear" w:color="auto" w:fill="auto"/>
            <w:vAlign w:val="center"/>
          </w:tcPr>
          <w:p>
            <w:pPr>
              <w:pStyle w:val="178"/>
            </w:pPr>
          </w:p>
        </w:tc>
        <w:tc>
          <w:tcPr>
            <w:tcW w:w="1556" w:type="dxa"/>
            <w:shd w:val="clear" w:color="auto" w:fill="auto"/>
            <w:vAlign w:val="center"/>
          </w:tcPr>
          <w:p>
            <w:pPr>
              <w:pStyle w:val="178"/>
            </w:pPr>
          </w:p>
        </w:tc>
        <w:tc>
          <w:tcPr>
            <w:tcW w:w="1556" w:type="dxa"/>
            <w:shd w:val="clear" w:color="auto" w:fill="auto"/>
            <w:vAlign w:val="center"/>
          </w:tcPr>
          <w:p>
            <w:pPr>
              <w:pStyle w:val="178"/>
            </w:pPr>
          </w:p>
        </w:tc>
      </w:tr>
    </w:tbl>
    <w:p>
      <w:pPr>
        <w:pStyle w:val="56"/>
        <w:ind w:firstLine="420"/>
      </w:pPr>
    </w:p>
    <w:bookmarkEnd w:id="75"/>
    <w:p>
      <w:pPr>
        <w:pStyle w:val="56"/>
        <w:ind w:firstLine="0" w:firstLineChars="0"/>
        <w:jc w:val="center"/>
      </w:pPr>
      <w:bookmarkStart w:id="78" w:name="BookMark8"/>
      <w:r>
        <w:drawing>
          <wp:inline distT="0" distB="0" distL="0" distR="0">
            <wp:extent cx="1485900" cy="317500"/>
            <wp:effectExtent l="0" t="0" r="0" b="6350"/>
            <wp:docPr id="1251178857" name="图片 2"/>
            <wp:cNvGraphicFramePr/>
            <a:graphic xmlns:a="http://schemas.openxmlformats.org/drawingml/2006/main">
              <a:graphicData uri="http://schemas.openxmlformats.org/drawingml/2006/picture">
                <pic:pic xmlns:pic="http://schemas.openxmlformats.org/drawingml/2006/picture">
                  <pic:nvPicPr>
                    <pic:cNvPr id="1251178857" name="图片 2"/>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8"/>
    </w:p>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4</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DB14/T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DB14/T XXXX—XXXX</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DB14/T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DB14/T XXXX—XXXX</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DB14/T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DB14/T XXXX—XXXX</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DB14/T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DB14/T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DB14/T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DB14/T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2"/>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4"/>
      <w:suff w:val="nothing"/>
      <w:lvlText w:val="%1.%2.%3　"/>
      <w:lvlJc w:val="left"/>
      <w:pPr>
        <w:ind w:left="0" w:firstLine="0"/>
      </w:pPr>
      <w:rPr>
        <w:rFonts w:hint="eastAsia" w:ascii="黑体" w:hAnsi="Times New Roman" w:eastAsia="黑体"/>
        <w:b w:val="0"/>
        <w:i w:val="0"/>
        <w:sz w:val="21"/>
      </w:rPr>
    </w:lvl>
    <w:lvl w:ilvl="3" w:tentative="0">
      <w:start w:val="1"/>
      <w:numFmt w:val="decimal"/>
      <w:pStyle w:val="235"/>
      <w:suff w:val="nothing"/>
      <w:lvlText w:val="%1.%2.%3.%4　"/>
      <w:lvlJc w:val="left"/>
      <w:pPr>
        <w:ind w:left="709" w:firstLine="0"/>
      </w:pPr>
      <w:rPr>
        <w:rFonts w:hint="eastAsia" w:ascii="黑体" w:hAnsi="Times New Roman" w:eastAsia="黑体"/>
        <w:b w:val="0"/>
        <w:i w:val="0"/>
        <w:sz w:val="21"/>
      </w:rPr>
    </w:lvl>
    <w:lvl w:ilvl="4" w:tentative="0">
      <w:start w:val="1"/>
      <w:numFmt w:val="decimal"/>
      <w:pStyle w:val="236"/>
      <w:suff w:val="nothing"/>
      <w:lvlText w:val="%1.%2.%3.%4.%5　"/>
      <w:lvlJc w:val="left"/>
      <w:pPr>
        <w:ind w:left="0" w:firstLine="0"/>
      </w:pPr>
      <w:rPr>
        <w:rFonts w:hint="eastAsia" w:ascii="黑体" w:hAnsi="Times New Roman" w:eastAsia="黑体"/>
        <w:b w:val="0"/>
        <w:i w:val="0"/>
        <w:sz w:val="21"/>
      </w:rPr>
    </w:lvl>
    <w:lvl w:ilvl="5" w:tentative="0">
      <w:start w:val="1"/>
      <w:numFmt w:val="decimal"/>
      <w:pStyle w:val="23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lang w:val="en-US"/>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okkcjwKG2GMI6jkVrALoVEfeSiHX+BYaC78N/uFpK9dZgxArFkESQw7dkLxeWGBL+IpWOX6XXLQ41Hvdij2ESg==" w:salt="8oG/LoDq9EIalsHQKhkDt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c2OTk4NzU1NTcxZjY4ZmUyMWQ4NDYyNGE0YzE3ZGIifQ=="/>
  </w:docVars>
  <w:rsids>
    <w:rsidRoot w:val="00AF624F"/>
    <w:rsid w:val="0000040A"/>
    <w:rsid w:val="00000A94"/>
    <w:rsid w:val="00001972"/>
    <w:rsid w:val="00001D9A"/>
    <w:rsid w:val="00007B3A"/>
    <w:rsid w:val="000107E0"/>
    <w:rsid w:val="00011FDE"/>
    <w:rsid w:val="00012FFD"/>
    <w:rsid w:val="00014162"/>
    <w:rsid w:val="00014340"/>
    <w:rsid w:val="000144FD"/>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157D"/>
    <w:rsid w:val="00292D60"/>
    <w:rsid w:val="00293B30"/>
    <w:rsid w:val="00294D34"/>
    <w:rsid w:val="00294E3B"/>
    <w:rsid w:val="00296193"/>
    <w:rsid w:val="002963D7"/>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115B"/>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282"/>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F0E"/>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6BE5"/>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624F"/>
    <w:rsid w:val="00B049AF"/>
    <w:rsid w:val="00B07242"/>
    <w:rsid w:val="00B10534"/>
    <w:rsid w:val="00B113DB"/>
    <w:rsid w:val="00B11D8A"/>
    <w:rsid w:val="00B12981"/>
    <w:rsid w:val="00B147DD"/>
    <w:rsid w:val="00B156FD"/>
    <w:rsid w:val="00B21F61"/>
    <w:rsid w:val="00B26154"/>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93C"/>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952FCC"/>
    <w:rsid w:val="049E6B5F"/>
    <w:rsid w:val="0AE970C3"/>
    <w:rsid w:val="19EE372B"/>
    <w:rsid w:val="20EE3936"/>
    <w:rsid w:val="2BA139AA"/>
    <w:rsid w:val="32F44921"/>
    <w:rsid w:val="47826D6F"/>
    <w:rsid w:val="50B07D90"/>
    <w:rsid w:val="557765A7"/>
    <w:rsid w:val="5F8E1396"/>
    <w:rsid w:val="60E60EAC"/>
    <w:rsid w:val="61795608"/>
    <w:rsid w:val="657C6735"/>
    <w:rsid w:val="696530AD"/>
    <w:rsid w:val="6C783974"/>
    <w:rsid w:val="6CE2432E"/>
    <w:rsid w:val="746B53BF"/>
    <w:rsid w:val="78381FE1"/>
    <w:rsid w:val="7FD83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qFormat="1" w:uiPriority="39" w:semiHidden="0" w:name="toc 4"/>
    <w:lsdException w:qFormat="1" w:uiPriority="39" w:semiHidden="0" w:name="toc 5"/>
    <w:lsdException w:uiPriority="39" w:semiHidden="0" w:name="toc 6"/>
    <w:lsdException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basedOn w:val="28"/>
    <w:link w:val="230"/>
    <w:qFormat/>
    <w:uiPriority w:val="0"/>
    <w:rPr>
      <w:rFonts w:ascii="宋体" w:hAnsi="Times New Roman"/>
      <w:sz w:val="21"/>
    </w:rPr>
  </w:style>
  <w:style w:type="paragraph" w:customStyle="1" w:styleId="232">
    <w:name w:val="一级条标题"/>
    <w:next w:val="230"/>
    <w:link w:val="238"/>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3">
    <w:name w:val="章标题"/>
    <w:next w:val="230"/>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4">
    <w:name w:val="二级条标题"/>
    <w:basedOn w:val="232"/>
    <w:next w:val="230"/>
    <w:link w:val="239"/>
    <w:qFormat/>
    <w:uiPriority w:val="0"/>
    <w:pPr>
      <w:numPr>
        <w:ilvl w:val="2"/>
      </w:numPr>
      <w:spacing w:before="50" w:after="50"/>
      <w:outlineLvl w:val="3"/>
    </w:pPr>
  </w:style>
  <w:style w:type="paragraph" w:customStyle="1" w:styleId="235">
    <w:name w:val="三级条标题"/>
    <w:basedOn w:val="234"/>
    <w:next w:val="230"/>
    <w:qFormat/>
    <w:uiPriority w:val="0"/>
    <w:pPr>
      <w:numPr>
        <w:ilvl w:val="3"/>
      </w:numPr>
      <w:tabs>
        <w:tab w:val="left" w:pos="2150"/>
      </w:tabs>
      <w:ind w:left="2150" w:hanging="420"/>
      <w:outlineLvl w:val="4"/>
    </w:pPr>
  </w:style>
  <w:style w:type="paragraph" w:customStyle="1" w:styleId="236">
    <w:name w:val="四级条标题"/>
    <w:basedOn w:val="235"/>
    <w:next w:val="230"/>
    <w:qFormat/>
    <w:uiPriority w:val="0"/>
    <w:pPr>
      <w:numPr>
        <w:ilvl w:val="4"/>
      </w:numPr>
      <w:tabs>
        <w:tab w:val="left" w:pos="2570"/>
      </w:tabs>
      <w:ind w:left="2570" w:hanging="420"/>
      <w:outlineLvl w:val="5"/>
    </w:pPr>
  </w:style>
  <w:style w:type="paragraph" w:customStyle="1" w:styleId="237">
    <w:name w:val="五级条标题"/>
    <w:basedOn w:val="236"/>
    <w:next w:val="230"/>
    <w:qFormat/>
    <w:uiPriority w:val="0"/>
    <w:pPr>
      <w:numPr>
        <w:ilvl w:val="5"/>
      </w:numPr>
      <w:tabs>
        <w:tab w:val="left" w:pos="2990"/>
      </w:tabs>
      <w:ind w:left="2990" w:hanging="420"/>
      <w:outlineLvl w:val="6"/>
    </w:pPr>
  </w:style>
  <w:style w:type="character" w:customStyle="1" w:styleId="238">
    <w:name w:val="一级条标题 Char"/>
    <w:basedOn w:val="28"/>
    <w:link w:val="232"/>
    <w:qFormat/>
    <w:uiPriority w:val="0"/>
    <w:rPr>
      <w:rFonts w:ascii="黑体" w:hAnsi="Times New Roman" w:eastAsia="黑体"/>
      <w:sz w:val="21"/>
      <w:szCs w:val="21"/>
    </w:rPr>
  </w:style>
  <w:style w:type="character" w:customStyle="1" w:styleId="239">
    <w:name w:val="二级条标题 Char"/>
    <w:basedOn w:val="238"/>
    <w:link w:val="234"/>
    <w:qFormat/>
    <w:uiPriority w:val="0"/>
    <w:rPr>
      <w:rFonts w:ascii="黑体" w:hAnsi="Times New Roman" w:eastAsia="黑体"/>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8" Type="http://schemas.openxmlformats.org/officeDocument/2006/relationships/glossaryDocument" Target="glossary/document.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1.jpeg"/><Relationship Id="rId32" Type="http://schemas.openxmlformats.org/officeDocument/2006/relationships/image" Target="media/image1.tiff"/><Relationship Id="rId31" Type="http://schemas.openxmlformats.org/officeDocument/2006/relationships/theme" Target="theme/theme1.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68D5207FAC249AFB935DF11E3D9213A"/>
        <w:style w:val=""/>
        <w:category>
          <w:name w:val="常规"/>
          <w:gallery w:val="placeholder"/>
        </w:category>
        <w:types>
          <w:type w:val="bbPlcHdr"/>
        </w:types>
        <w:behaviors>
          <w:behavior w:val="content"/>
        </w:behaviors>
        <w:description w:val=""/>
        <w:guid w:val="{18F57697-B0D1-4167-86D5-6A525E210B6B}"/>
      </w:docPartPr>
      <w:docPartBody>
        <w:p>
          <w:pPr>
            <w:pStyle w:val="5"/>
          </w:pPr>
          <w:r>
            <w:rPr>
              <w:rStyle w:val="4"/>
              <w:rFonts w:hint="eastAsia"/>
            </w:rPr>
            <w:t>单击或点击此处输入文字。</w:t>
          </w:r>
        </w:p>
      </w:docPartBody>
    </w:docPart>
    <w:docPart>
      <w:docPartPr>
        <w:name w:val="E494F781553D44F2A98C5F665FAA723B"/>
        <w:style w:val=""/>
        <w:category>
          <w:name w:val="常规"/>
          <w:gallery w:val="placeholder"/>
        </w:category>
        <w:types>
          <w:type w:val="bbPlcHdr"/>
        </w:types>
        <w:behaviors>
          <w:behavior w:val="content"/>
        </w:behaviors>
        <w:description w:val=""/>
        <w:guid w:val="{F3778087-F14B-4A87-8F19-C457A17CD571}"/>
      </w:docPartPr>
      <w:docPartBody>
        <w:p>
          <w:pPr>
            <w:pStyle w:val="6"/>
          </w:pPr>
          <w:r>
            <w:rPr>
              <w:rStyle w:val="4"/>
              <w:rFonts w:hint="eastAsia"/>
            </w:rPr>
            <w:t>选择一项。</w:t>
          </w:r>
        </w:p>
      </w:docPartBody>
    </w:docPart>
    <w:docPart>
      <w:docPartPr>
        <w:name w:val="97DC4AD6376E4DDCA52C8E4ED35881A4"/>
        <w:style w:val=""/>
        <w:category>
          <w:name w:val="常规"/>
          <w:gallery w:val="placeholder"/>
        </w:category>
        <w:types>
          <w:type w:val="bbPlcHdr"/>
        </w:types>
        <w:behaviors>
          <w:behavior w:val="content"/>
        </w:behaviors>
        <w:description w:val=""/>
        <w:guid w:val="{B2237923-0774-4B58-981C-4851312BE931}"/>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ADE"/>
    <w:rsid w:val="00C8693C"/>
    <w:rsid w:val="00F31181"/>
    <w:rsid w:val="00F64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68D5207FAC249AFB935DF11E3D9213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E494F781553D44F2A98C5F665FAA723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7DC4AD6376E4DDCA52C8E4ED35881A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2366</Words>
  <Characters>2713</Characters>
  <Lines>361</Lines>
  <Paragraphs>325</Paragraphs>
  <TotalTime>12</TotalTime>
  <ScaleCrop>false</ScaleCrop>
  <LinksUpToDate>false</LinksUpToDate>
  <CharactersWithSpaces>2853</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2024-10-25T04:26:00Z</dcterms:created>
  <dc:creator>junqiang yang</dc:creator>
  <dc:description>&lt;config cover="true" show_menu="true" version="1.0.0" doctype="SDKXY"&gt;_x000d_
&lt;/config&gt;</dc:description>
  <cp:lastModifiedBy>美华</cp:lastModifiedBy>
  <cp:lastPrinted>2020-08-30T10:00:00Z</cp:lastPrinted>
  <dcterms:modified xsi:type="dcterms:W3CDTF">2024-10-28T05:47:56Z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2052-11.1.0.11566</vt:lpwstr>
  </property>
  <property fmtid="{D5CDD505-2E9C-101B-9397-08002B2CF9AE}" pid="16" name="ICV">
    <vt:lpwstr>D1F5BEEF68084967B2003108880E4882_12</vt:lpwstr>
  </property>
</Properties>
</file>